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530B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05381F">
        <w:rPr>
          <w:rFonts w:ascii="Calibri" w:hAnsi="Calibri" w:cs="Calibri"/>
          <w:color w:val="auto"/>
          <w:sz w:val="44"/>
          <w:szCs w:val="44"/>
          <w:lang w:val="el-GR"/>
        </w:rPr>
        <w:t>ΙΑΝΟΥΑΡ</w:t>
      </w:r>
      <w:r w:rsidR="00E95971">
        <w:rPr>
          <w:rFonts w:ascii="Calibri" w:hAnsi="Calibri" w:cs="Calibri"/>
          <w:color w:val="auto"/>
          <w:sz w:val="44"/>
          <w:szCs w:val="44"/>
          <w:lang w:val="el-GR"/>
        </w:rPr>
        <w:t>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05381F">
        <w:rPr>
          <w:rFonts w:ascii="Calibri" w:hAnsi="Calibri" w:cs="Calibri"/>
          <w:color w:val="auto"/>
          <w:sz w:val="44"/>
          <w:szCs w:val="44"/>
          <w:lang w:val="el-GR"/>
        </w:rPr>
        <w:t>20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2020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ΙΑΝΟΥΑΡΙΟΣ 2020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01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2B702C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2B702C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2020</w:t>
      </w:r>
    </w:p>
    <w:p w:rsidR="00D90A94" w:rsidRPr="00E411AE" w:rsidRDefault="00D90A94" w:rsidP="008F7757">
      <w:pPr>
        <w:spacing w:line="276" w:lineRule="auto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D47120" w:rsidRPr="00E411AE" w:rsidRDefault="00D47120" w:rsidP="00D47120">
      <w:pPr>
        <w:pStyle w:val="ListParagraph"/>
        <w:shd w:val="clear" w:color="auto" w:fill="E5B8B7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Α.</w:t>
      </w:r>
      <w:r w:rsidRPr="00E411AE">
        <w:rPr>
          <w:rFonts w:ascii="Calibri" w:hAnsi="Calibri" w:cs="Calibri"/>
          <w:color w:val="auto"/>
          <w:lang w:val="el-GR"/>
        </w:rPr>
        <w:tab/>
      </w:r>
      <w:r w:rsidRPr="00E411AE">
        <w:rPr>
          <w:rFonts w:ascii="Calibri" w:hAnsi="Calibri" w:cs="Calibri"/>
          <w:bCs w:val="0"/>
          <w:caps/>
          <w:color w:val="auto"/>
          <w:lang w:val="el-GR"/>
        </w:rPr>
        <w:t>Γενική Κατάσταση της Αγοράς Εργασίας</w:t>
      </w:r>
    </w:p>
    <w:p w:rsidR="00D47120" w:rsidRPr="00E411AE" w:rsidRDefault="00D47120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C00084" w:rsidRPr="00E411AE" w:rsidRDefault="00C00084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376052" w:rsidRDefault="00D90A94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επιπτώσεις 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παγκόσμια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 οικονομικής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ύφεσης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άρχισαν</w:t>
      </w:r>
      <w:r w:rsidR="00BD74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να εμφανίζονται 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στην αγορά εργασίας 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της Κύπρου 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τα τέλη του 2008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εξακολουθούν να υπάρχουν μέχρι σήμερα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AE019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σταδιακή αλλά συνεχής μείωση των οικονομικών δραστηριοτήτων οδήγησε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κατάργηση πολλών θέσεων εργασίας με αποτέλεσμα </w:t>
      </w:r>
      <w:r w:rsidR="006D362D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="006D362D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συνεχή αύξηση της 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ανεργία</w:t>
      </w:r>
      <w:r w:rsidR="006D362D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 και παράλληλα τη συνεχή μείωση της απασχόλησης.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B3D54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Από το 2015 και μετά </w:t>
      </w:r>
      <w:r w:rsidR="00F976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οικονομία </w:t>
      </w:r>
      <w:r w:rsidR="00AB3D54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άρχισε να α</w:t>
      </w:r>
      <w:r w:rsidR="00F976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να</w:t>
      </w:r>
      <w:r w:rsidR="00AB3D54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κάμπτει</w:t>
      </w:r>
      <w:r w:rsidR="00F976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με τους κύριους οικονομικούς δείχτες να βελτιώνονται</w:t>
      </w:r>
      <w:r w:rsidR="0045417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σημαντικά</w:t>
      </w:r>
      <w:r w:rsidR="0037605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376052" w:rsidRPr="00376052" w:rsidRDefault="00376052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376052" w:rsidRPr="00376052" w:rsidRDefault="00376052" w:rsidP="00376052">
      <w:pPr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  <w:r w:rsidRPr="00376052">
        <w:rPr>
          <w:rFonts w:asciiTheme="minorHAnsi" w:hAnsiTheme="minorHAnsi"/>
          <w:b w:val="0"/>
          <w:sz w:val="22"/>
          <w:szCs w:val="22"/>
          <w:lang w:val="el-GR"/>
        </w:rPr>
        <w:t>Σύμφωνα με τα τελευταία στοιχεία της Έρευνας Εργατικού Δυναμικού, κατά το τρίτο τρίμηνο του 2019 το ποσοστό ανεργίας διαμορφώθηκε στο 6,7% του εργατικού δυναμικού (30.088 άτομα) παρουσιάζοντας μείωση κατά 1,1 ποσοστιαίες μονάδες (4.640 άτομα) σε σχέση με το τρίτο τρίμηνο του 2018 που ήταν 7.8% (34.728 άτομα). Το ποσοστό ανεργίας κατά το πρώτο εννεάμηνο του 2019 (μέσος όρος των πρώτων τριών τριμήνων) διαμορφώθηκε στο 7,3% του εργατικού δυναμικού (32.776 άτομα) παρουσιάζοντας μείωση κατά 1,3 ποσοστιαίες μονάδες (4.919 άτομα) σε σχέση με το πρώτο εννεάμηνο του 2018 που ήταν 8.6% (37.695 άτομα).</w:t>
      </w:r>
    </w:p>
    <w:p w:rsidR="00376052" w:rsidRPr="00376052" w:rsidRDefault="00376052" w:rsidP="00376052">
      <w:pPr>
        <w:spacing w:after="240" w:line="276" w:lineRule="auto"/>
        <w:jc w:val="both"/>
        <w:rPr>
          <w:rFonts w:ascii="Calibri" w:hAnsi="Calibri"/>
          <w:b w:val="0"/>
          <w:bCs w:val="0"/>
          <w:spacing w:val="4"/>
          <w:sz w:val="22"/>
          <w:szCs w:val="22"/>
          <w:lang w:val="el-GR"/>
        </w:rPr>
      </w:pPr>
      <w:r w:rsidRPr="00376052">
        <w:rPr>
          <w:rFonts w:ascii="Calibri" w:hAnsi="Calibri"/>
          <w:b w:val="0"/>
          <w:sz w:val="22"/>
          <w:szCs w:val="22"/>
          <w:lang w:val="el-GR"/>
        </w:rPr>
        <w:t>Σε σχέση με τα προηγούμενα χρόνια ο</w:t>
      </w:r>
      <w:r w:rsidRPr="00376052">
        <w:rPr>
          <w:rFonts w:ascii="Calibri" w:hAnsi="Calibri"/>
          <w:b w:val="0"/>
          <w:spacing w:val="4"/>
          <w:sz w:val="22"/>
          <w:szCs w:val="22"/>
          <w:lang w:val="el-GR"/>
        </w:rPr>
        <w:t xml:space="preserve"> μέσος όρος ανεργίας κατά το 2018 ήταν 8,4%, το 2017 ήταν 11,1%, το 2016 ήταν 12,9%, το 2015 ήταν 14,9%, το 2014 ήταν 16,1%, και το 2013 ήταν 15,9%.</w:t>
      </w:r>
    </w:p>
    <w:p w:rsidR="00376052" w:rsidRPr="00376052" w:rsidRDefault="00376052" w:rsidP="00376052">
      <w:pPr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  <w:r w:rsidRPr="00376052">
        <w:rPr>
          <w:rFonts w:ascii="Calibri" w:eastAsia="Calibri" w:hAnsi="Calibri"/>
          <w:b w:val="0"/>
          <w:spacing w:val="4"/>
          <w:sz w:val="22"/>
          <w:szCs w:val="22"/>
          <w:lang w:val="el-GR"/>
        </w:rPr>
        <w:t xml:space="preserve">Το ποσοστό ανεργίας στους νέους 15-24 ετών διαμορφώθηκε στο 15,6% το τρίτο </w:t>
      </w:r>
      <w:r w:rsidRPr="00376052">
        <w:rPr>
          <w:rFonts w:asciiTheme="minorHAnsi" w:hAnsiTheme="minorHAnsi"/>
          <w:b w:val="0"/>
          <w:sz w:val="22"/>
          <w:szCs w:val="22"/>
          <w:lang w:val="el-GR"/>
        </w:rPr>
        <w:t>τρίμηνο του 2019</w:t>
      </w:r>
      <w:r w:rsidRPr="00376052">
        <w:rPr>
          <w:rFonts w:ascii="Calibri" w:eastAsia="Calibri" w:hAnsi="Calibri"/>
          <w:b w:val="0"/>
          <w:spacing w:val="4"/>
          <w:sz w:val="22"/>
          <w:szCs w:val="22"/>
          <w:lang w:val="el-GR"/>
        </w:rPr>
        <w:t xml:space="preserve">, </w:t>
      </w:r>
      <w:r w:rsidRPr="00376052">
        <w:rPr>
          <w:rFonts w:asciiTheme="minorHAnsi" w:hAnsiTheme="minorHAnsi"/>
          <w:b w:val="0"/>
          <w:sz w:val="22"/>
          <w:szCs w:val="22"/>
          <w:lang w:val="el-GR"/>
        </w:rPr>
        <w:t>παρουσιάζοντας μείωση κατά 1,4 ποσοστιαίες μονάδες (1.030 άτομα) σε σχέση με το τρίτο τρίμηνο του 2018 που ήταν 17,0%</w:t>
      </w:r>
      <w:r w:rsidRPr="00376052">
        <w:rPr>
          <w:rFonts w:ascii="Calibri" w:eastAsia="Calibri" w:hAnsi="Calibri"/>
          <w:b w:val="0"/>
          <w:spacing w:val="4"/>
          <w:sz w:val="22"/>
          <w:szCs w:val="22"/>
          <w:lang w:val="el-GR"/>
        </w:rPr>
        <w:t xml:space="preserve">. </w:t>
      </w:r>
      <w:r w:rsidRPr="00376052">
        <w:rPr>
          <w:rFonts w:asciiTheme="minorHAnsi" w:hAnsiTheme="minorHAnsi"/>
          <w:b w:val="0"/>
          <w:sz w:val="22"/>
          <w:szCs w:val="22"/>
          <w:lang w:val="el-GR"/>
        </w:rPr>
        <w:t>Το ποσοστό ανεργίας των νέων κατά το πρώτο εννεάμηνο του 2019 (μέσος όρος των πρώτων τριών τριμήνων) διαμορφώθηκε στο 16,8% του εργατικού δυναμικού (6.049 άτομα) παρουσιάζοντας μείωση κατά 3,3 ποσοστιαίες μονάδες (1.441 άτομα) σε σχέση με το πρώτο εννεάμηνο του 2018 που ήταν 20.1% (7.489 άτομα).</w:t>
      </w:r>
    </w:p>
    <w:p w:rsidR="00376052" w:rsidRPr="00376052" w:rsidRDefault="00376052" w:rsidP="00376052">
      <w:pPr>
        <w:spacing w:after="240" w:line="276" w:lineRule="auto"/>
        <w:jc w:val="both"/>
        <w:rPr>
          <w:rFonts w:ascii="Calibri" w:eastAsia="Calibri" w:hAnsi="Calibri"/>
          <w:b w:val="0"/>
          <w:bCs w:val="0"/>
          <w:spacing w:val="4"/>
          <w:sz w:val="22"/>
          <w:szCs w:val="22"/>
          <w:lang w:val="el-GR"/>
        </w:rPr>
      </w:pPr>
      <w:r w:rsidRPr="00376052">
        <w:rPr>
          <w:rFonts w:ascii="Calibri" w:eastAsia="Calibri" w:hAnsi="Calibri"/>
          <w:b w:val="0"/>
          <w:spacing w:val="4"/>
          <w:sz w:val="22"/>
          <w:szCs w:val="22"/>
          <w:lang w:val="el-GR"/>
        </w:rPr>
        <w:t>Κατά μέσο όρο το ποσοστό ανεργίας στους νέους 15-24 ετών το 2018 ήταν 20,2%, το 2017 διαμορφώθηκε στο 24,7%, το 2016 στο 29,1%, το 2015 στο 32,8%, το 2014 στο 36,0%  και το 2013 στο 38,9%.</w:t>
      </w:r>
    </w:p>
    <w:p w:rsidR="00376052" w:rsidRPr="00980BD7" w:rsidRDefault="00376052" w:rsidP="00E9597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D4D59" w:rsidRPr="00980BD7" w:rsidRDefault="00FD4D59" w:rsidP="00FD4D59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4"/>
          <w:szCs w:val="4"/>
          <w:lang w:val="el-GR"/>
        </w:rPr>
      </w:pPr>
    </w:p>
    <w:p w:rsidR="0005381F" w:rsidRPr="0005381F" w:rsidRDefault="0005381F" w:rsidP="0005381F">
      <w:pPr>
        <w:spacing w:after="200"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lastRenderedPageBreak/>
        <w:t xml:space="preserve">Με βάση τα τελευταία διαθέσιμα στοιχεία της Ευρωπαϊκής Στατιστικής Υπηρεσίας, </w:t>
      </w:r>
      <w:r w:rsidRPr="0005381F">
        <w:rPr>
          <w:rFonts w:ascii="Calibri" w:eastAsia="Calibri" w:hAnsi="Calibri" w:cs="Arial"/>
          <w:b w:val="0"/>
          <w:sz w:val="22"/>
          <w:szCs w:val="22"/>
        </w:rPr>
        <w:t>Eurostat</w:t>
      </w: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</w:t>
      </w:r>
      <w:r w:rsidRPr="0005381F">
        <w:rPr>
          <w:rFonts w:ascii="Calibri" w:eastAsia="Calibri" w:hAnsi="Calibri" w:cs="Arial"/>
          <w:b w:val="0"/>
          <w:i/>
          <w:sz w:val="22"/>
          <w:szCs w:val="22"/>
          <w:lang w:val="el-GR"/>
        </w:rPr>
        <w:t>Δεκέμβριο του 2019</w:t>
      </w: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η ανεργία στην Κύπρο ανήλθε στο 7,6</w:t>
      </w:r>
      <w:r w:rsidRPr="0005381F">
        <w:rPr>
          <w:rFonts w:ascii="Calibri" w:eastAsia="Calibri" w:hAnsi="Calibri" w:cs="Arial"/>
          <w:sz w:val="22"/>
          <w:szCs w:val="22"/>
          <w:lang w:val="el-GR"/>
        </w:rPr>
        <w:t>%</w:t>
      </w: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παρουσιάζοντας αύξηση κατά 0,2 ποσοστιαίες μονάδες σε σχέση με τον ίδιο μήνα πέρσι (7,4%). Σε σύγκριση με τον προηγούμενο μήνα, Νοέμβριο 2019, το ποσοστό ανεργίας αυξήθηκε κατά 0,1 ποσοστιαία μονάδα. Η ανεργία των νέων 15-24 ετών έφτασε στο 17,2% τον Σεπτέμβριο του 2019. </w:t>
      </w:r>
    </w:p>
    <w:p w:rsidR="0005381F" w:rsidRPr="0005381F" w:rsidRDefault="0005381F" w:rsidP="0005381F">
      <w:pPr>
        <w:spacing w:after="200"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7,4% τον </w:t>
      </w:r>
      <w:r w:rsidRPr="0005381F">
        <w:rPr>
          <w:rFonts w:ascii="Calibri" w:eastAsia="Calibri" w:hAnsi="Calibri" w:cs="Arial"/>
          <w:b w:val="0"/>
          <w:i/>
          <w:sz w:val="22"/>
          <w:szCs w:val="22"/>
          <w:lang w:val="el-GR"/>
        </w:rPr>
        <w:t xml:space="preserve">Δεκέμβριο </w:t>
      </w: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t>του 2019 καταγράφοντας το χαμηλότερο ποσοστό ανεργίας από τον Μάιο του 2008. Ο μέσος όρος στην Ευρώπη (</w:t>
      </w:r>
      <w:r w:rsidRPr="0005381F">
        <w:rPr>
          <w:rFonts w:ascii="Calibri" w:eastAsia="Calibri" w:hAnsi="Calibri" w:cs="Arial"/>
          <w:b w:val="0"/>
          <w:sz w:val="22"/>
          <w:szCs w:val="22"/>
        </w:rPr>
        <w:t>EU</w:t>
      </w:r>
      <w:r w:rsidRPr="0005381F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28) έφτασε στο 6,2% καταγράφοντας το χαμηλότερο ποσοστό ανεργίας από τον Ιανουάριο του 2000, όπου ήταν η έναρξη της καταγραφής της σειράς των μηνιαίων στατιστικών ανεργίας της ΕΕ.</w:t>
      </w:r>
    </w:p>
    <w:p w:rsidR="00B15E15" w:rsidRPr="00031743" w:rsidRDefault="00891646" w:rsidP="0075786E">
      <w:p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Ιανουαρίου</w:t>
      </w:r>
      <w:r w:rsidR="00200711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454176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2019</w:t>
      </w:r>
      <w:r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376052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6</w:t>
      </w:r>
      <w:r w:rsidR="00376052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214</w:t>
      </w:r>
      <w:r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031743">
        <w:rPr>
          <w:rFonts w:asciiTheme="minorHAnsi" w:hAnsiTheme="minorHAnsi" w:cs="Arial"/>
          <w:b w:val="0"/>
          <w:i/>
          <w:color w:val="auto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Ιανουάριο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μειώ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θηκε στα 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19.715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B458DD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</w:t>
      </w:r>
      <w:r w:rsidR="00031743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0</w:t>
      </w:r>
      <w:r w:rsidR="009F38EE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  <w:r w:rsidR="00031743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031743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B15E15" w:rsidRPr="00031743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782DE9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Ιανουάριο</w:t>
      </w:r>
      <w:r w:rsidR="00BD2FCF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201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9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σημειώθηκε μείωση </w:t>
      </w:r>
      <w:r w:rsidR="004B1F79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4.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737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ατόμ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ων ή</w:t>
      </w:r>
      <w:r w:rsidR="008D2FF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341232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031743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5,</w:t>
      </w:r>
      <w:r w:rsidR="0005381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</w:t>
      </w:r>
      <w:r w:rsidR="00B15E15" w:rsidRPr="0003174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%.</w:t>
      </w:r>
      <w:r w:rsidR="00B15E15" w:rsidRPr="00031743">
        <w:rPr>
          <w:rStyle w:val="apple-converted-space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 </w:t>
      </w:r>
    </w:p>
    <w:p w:rsidR="00F8579E" w:rsidRPr="00C43D67" w:rsidRDefault="00296374" w:rsidP="00980BD7">
      <w:pPr>
        <w:spacing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</w:pPr>
      <w:r w:rsidRPr="00C43D67">
        <w:rPr>
          <w:rFonts w:asciiTheme="minorHAnsi" w:hAnsiTheme="minorHAnsi" w:cs="Calibri"/>
          <w:b w:val="0"/>
          <w:color w:val="auto"/>
          <w:sz w:val="22"/>
          <w:szCs w:val="22"/>
          <w:lang w:val="el-GR"/>
        </w:rPr>
        <w:t xml:space="preserve">Σύμφωνα με την Έρευνα Εργατικού Δυναμικού, 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το επίπεδο απασχόλησης 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(15+) 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το</w:t>
      </w:r>
      <w:r w:rsidR="00497F2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τρίτο</w:t>
      </w:r>
      <w:r w:rsidR="00497F2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τρίμηνο του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201</w:t>
      </w:r>
      <w:r w:rsidR="00497F2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9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αυξήθηκε κατά 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16.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160</w:t>
      </w:r>
      <w:r w:rsidR="001E6939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άτομα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σε σύγκριση με το</w:t>
      </w:r>
      <w:r w:rsidR="00497F2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ίδιο τρίμηνο του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201</w:t>
      </w:r>
      <w:r w:rsidR="00497F2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, φτάνοντας στα 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41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4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.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869</w:t>
      </w:r>
      <w:r w:rsidR="00417A11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άτομα, από 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398.709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άτομα που ήταν το</w:t>
      </w:r>
      <w:r w:rsidR="00036556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201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. Για την ίδια περίοδο, το ποσοστό απασχόλησης των ατόμων 20-64 χρόνων στο σύνολο του πληθυσμού ηλικίας 20-64 αυξήθηκε στο </w:t>
      </w:r>
      <w:r w:rsidR="00605659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7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5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,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7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% από </w:t>
      </w:r>
      <w:r w:rsidR="00605659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7</w:t>
      </w:r>
      <w:r w:rsidR="00C43D67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4,6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%</w:t>
      </w:r>
      <w:r w:rsidR="001E6939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που ήταν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το 201</w:t>
      </w:r>
      <w:r w:rsidR="00627DF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</w:t>
      </w:r>
      <w:r w:rsidR="000364C5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.</w:t>
      </w:r>
      <w:r w:rsidR="00B30504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CA4E74" w:rsidRPr="00C43D67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Σε σχέση με τα προηγούμενα χρόνια </w:t>
      </w:r>
      <w:r w:rsidR="00F8579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το επίπεδο απασχόλησης</w:t>
      </w:r>
      <w:r w:rsidR="007B1033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(20-64) το 2018 είχε φτάσει το 73,9%, το 2017 </w:t>
      </w:r>
      <w:r w:rsidR="00B30504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ήταν 70,8% και το 2016 ήταν </w:t>
      </w:r>
      <w:r w:rsidR="00F8579E" w:rsidRPr="00C43D67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68,7% .</w:t>
      </w:r>
    </w:p>
    <w:p w:rsidR="00794AB0" w:rsidRPr="005046D0" w:rsidRDefault="00794AB0" w:rsidP="00C9079F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4"/>
          <w:szCs w:val="4"/>
          <w:lang w:val="el-GR"/>
        </w:rPr>
      </w:pPr>
    </w:p>
    <w:p w:rsidR="00D90A94" w:rsidRPr="005046D0" w:rsidRDefault="00107220" w:rsidP="00107220">
      <w:pPr>
        <w:pStyle w:val="ListParagraph"/>
        <w:shd w:val="clear" w:color="auto" w:fill="E5B8B7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5046D0">
        <w:rPr>
          <w:rFonts w:ascii="Calibri" w:hAnsi="Calibri" w:cs="Calibri"/>
          <w:color w:val="auto"/>
          <w:lang w:val="el-GR"/>
        </w:rPr>
        <w:t>Β.</w:t>
      </w:r>
      <w:r w:rsidRPr="005046D0">
        <w:rPr>
          <w:rFonts w:ascii="Calibri" w:hAnsi="Calibri" w:cs="Calibri"/>
          <w:color w:val="auto"/>
          <w:lang w:val="el-GR"/>
        </w:rPr>
        <w:tab/>
      </w:r>
      <w:r w:rsidRPr="005046D0">
        <w:rPr>
          <w:rFonts w:ascii="Calibri" w:hAnsi="Calibri" w:cs="Calibri"/>
          <w:caps/>
          <w:color w:val="auto"/>
          <w:lang w:val="el-GR"/>
        </w:rPr>
        <w:t>Ανάλυση</w:t>
      </w:r>
      <w:r w:rsidR="00D90A94" w:rsidRPr="005046D0">
        <w:rPr>
          <w:rFonts w:ascii="Calibri" w:hAnsi="Calibri" w:cs="Calibri"/>
          <w:caps/>
          <w:color w:val="auto"/>
          <w:lang w:val="el-GR"/>
        </w:rPr>
        <w:t xml:space="preserve"> στοιχεί</w:t>
      </w:r>
      <w:r w:rsidRPr="005046D0">
        <w:rPr>
          <w:rFonts w:ascii="Calibri" w:hAnsi="Calibri" w:cs="Calibri"/>
          <w:caps/>
          <w:color w:val="auto"/>
          <w:lang w:val="el-GR"/>
        </w:rPr>
        <w:t>ων</w:t>
      </w:r>
      <w:r w:rsidR="00D90A94" w:rsidRPr="005046D0">
        <w:rPr>
          <w:rFonts w:ascii="Calibri" w:hAnsi="Calibri" w:cs="Calibri"/>
          <w:caps/>
          <w:color w:val="auto"/>
          <w:lang w:val="el-GR"/>
        </w:rPr>
        <w:t xml:space="preserve"> Εγγεγραμμένης Ανεργίας</w:t>
      </w:r>
    </w:p>
    <w:p w:rsidR="00D90A94" w:rsidRPr="005046D0" w:rsidRDefault="00D90A94" w:rsidP="00107220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05381F" w:rsidRPr="0005381F" w:rsidRDefault="005032BA" w:rsidP="0005381F">
      <w:pPr>
        <w:pStyle w:val="ListParagraph"/>
        <w:spacing w:line="276" w:lineRule="auto"/>
        <w:ind w:left="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>
        <w:rPr>
          <w:rFonts w:asciiTheme="minorHAnsi" w:eastAsia="Calibri" w:hAnsiTheme="minorHAnsi" w:cs="Arial"/>
          <w:i/>
          <w:iCs/>
          <w:color w:val="auto"/>
          <w:lang w:val="el-GR"/>
        </w:rPr>
        <w:t xml:space="preserve">Α. </w:t>
      </w:r>
      <w:r w:rsidR="0005381F" w:rsidRPr="0005381F">
        <w:rPr>
          <w:rFonts w:ascii="Calibri" w:eastAsia="Calibri" w:hAnsi="Calibri" w:cs="Arial"/>
          <w:i/>
          <w:iCs/>
          <w:color w:val="auto"/>
          <w:lang w:val="el-GR"/>
        </w:rPr>
        <w:t xml:space="preserve">Σύγκριση μεταξύ Ιανουαρίου 2019 και 2020 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 xml:space="preserve"> (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):</w:t>
      </w:r>
    </w:p>
    <w:p w:rsidR="0005381F" w:rsidRPr="0005381F" w:rsidRDefault="0005381F" w:rsidP="0005381F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16"/>
          <w:szCs w:val="16"/>
          <w:lang w:val="el-GR"/>
        </w:rPr>
      </w:pP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26.214 άτομα από 30.951 τον αντίστοιχο μήνα του 2019 (μείωση κατά 15% ή 4.737 άτομα). Επισημαίνεται η συνεχής καθοδική τάση της μηνιαίας εγγεγραμμένης ανεργίας τα τελευταία τέσσερα χρόνια. Αναφέρεται επίσης ότι ο αριθμός αυτός των ανέργων είναι χαμηλότερος από τον αριθμό που καταγράφτηκε τον Ιανουάριο του 2011  (28.914 άτομα) και μεγαλύτερος από τον αριθμό ανέργων του Ιανουαρίου 2010 (23.645 άτομα).</w:t>
      </w:r>
      <w:r w:rsidRPr="0005381F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5381F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ο, ο αριθμός των άνεργων αντρών ανήλθε στα 11.522 άτομα, ενώ ο αριθμός των ανέργων γυναικών ανήλθε στα 14.692 άτομα. Σε σχέση με τον ίδιο μήνα πέρσι, ο αριθμός των ανέργων αντρών μειώθηκε κατά 2.628 άτομα ή 19% και των γυναικών μειώθηκε κατά 2.109 άτομα ή 13%.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05381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05381F" w:rsidRPr="0005381F" w:rsidRDefault="0005381F" w:rsidP="0005381F">
      <w:pPr>
        <w:spacing w:after="200" w:line="276" w:lineRule="auto"/>
        <w:ind w:left="142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248275" cy="2609850"/>
            <wp:effectExtent l="0" t="0" r="9525" b="1905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05381F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μείωση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στις </w:t>
      </w:r>
      <w:r w:rsidRPr="0005381F">
        <w:rPr>
          <w:rFonts w:ascii="Calibri" w:eastAsia="Calibri" w:hAnsi="Calibri" w:cs="Arial"/>
          <w:color w:val="auto"/>
          <w:sz w:val="22"/>
          <w:szCs w:val="22"/>
          <w:lang w:val="el-GR"/>
        </w:rPr>
        <w:t>επαρχίες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Λευκωσίας, Λεμεσού, Πάφου και Λάρνακας (κατά 1.857 άτομα, 1.236 άτομα, 855 άτομα και 856 άτομα αντίστοιχα). Στην επαρχία  Αμμοχώστου αυξήθηκε οριακά κατά 67 άτομα.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12 μήνες. Σημειώνεται ότι η Επαρχία Αμμοχώστου συγκεντρώνει το μεγαλύτερο αριθμό ανέργων από όλες τις Επαρχίες (6.524 άτομα).</w:t>
      </w:r>
    </w:p>
    <w:p w:rsidR="0005381F" w:rsidRPr="0005381F" w:rsidRDefault="0005381F" w:rsidP="0005381F">
      <w:pPr>
        <w:spacing w:after="200" w:line="276" w:lineRule="auto"/>
        <w:ind w:left="142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248275" cy="2543175"/>
            <wp:effectExtent l="0" t="0" r="9525" b="9525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05381F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05381F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05381F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2019 παρουσιάστηκαν στον τομέα της Δημόσιας Διοίκησης (κατά 1.039 άτομα), στον τομέα των Νεοεισερχομένων (κατά 842 άτομα), </w:t>
      </w:r>
      <w:r w:rsidRPr="0005381F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τομείς του Εμπορίου (κατά 620 άτομα), στον τομέα των Κατασκευών (κατά 597 άτομα), στον τομέα Ξενοδοχείων (κατά 398 άτομα), των Άλλων Υπηρεσιών (κατά 337 άτομα), της μεταποίησης ( κατά 301 άτομα) και στον τομέα των Τραπεζών (κατά 256 άτομα).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 Η μεγαλύτερη συγκέντρωση ανέργων  έχει καταγραφτεί στον τομέα των Ξενοδοχείων (9.635 άτομα).</w:t>
      </w:r>
    </w:p>
    <w:p w:rsidR="0005381F" w:rsidRPr="0005381F" w:rsidRDefault="0005381F" w:rsidP="0005381F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353050" cy="2762250"/>
            <wp:effectExtent l="0" t="0" r="19050" b="1905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381F" w:rsidRPr="0005381F" w:rsidRDefault="0005381F" w:rsidP="0005381F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4"/>
          <w:szCs w:val="4"/>
          <w:lang w:val="el-GR"/>
        </w:rPr>
      </w:pP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05381F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2019 παρουσιάστηκαν</w:t>
      </w:r>
      <w:r w:rsidRPr="0005381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Ανειδίκευτους εργάτες (κατά 1.151 άτομα), στους Υπαλλήλους Υπηρεσιών και πωλητές (κατά 942 άτομα), στους Νεοεισερχόμενους (κατά 842 άτομα), στους Υπαλλήλους Γραφείου (κατά 631 άτομα), και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567 άτομα).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 Η μεγαλύτερη συγκέντρωση ανέργων έχει καταγραφτεί στην επαγγελματική κατηγορία των Υπαλλήλων Υπηρεσιών (8.117 άτομα).</w:t>
      </w:r>
    </w:p>
    <w:p w:rsidR="0005381F" w:rsidRPr="0005381F" w:rsidRDefault="0005381F" w:rsidP="0005381F">
      <w:pPr>
        <w:spacing w:after="200" w:line="276" w:lineRule="auto"/>
        <w:ind w:left="142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314950" cy="2638425"/>
            <wp:effectExtent l="0" t="0" r="19050" b="9525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Pr="0005381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(μείωση κατά 1.353 άτομα),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ηλικιακή ομάδα 50-59 ετών (μείωση κατά 1.168 άτομα),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στην ηλικιακή ομάδα 40-49 ετών (μείωση κατά 743 άτομα), και στην ηλικιακή ομάδα 25-29 ετών (μείωση κατά 628 άτομα)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Στο διάγραμμα που ακολουθεί παρουσιάζεται η διακύμανση του αριθμού των ανέργων κατά ηλικιακή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lastRenderedPageBreak/>
        <w:t>ομάδα τους τελευταίους 12 μήνες.</w:t>
      </w:r>
      <w:r w:rsidRPr="0005381F">
        <w:rPr>
          <w:rFonts w:eastAsia="Calibri"/>
          <w:noProof/>
          <w:color w:val="auto"/>
          <w:lang w:val="el-GR"/>
        </w:rPr>
        <w:t xml:space="preserve"> </w:t>
      </w:r>
      <w:r w:rsidRPr="0005381F">
        <w:rPr>
          <w:rFonts w:ascii="Calibri" w:eastAsia="Calibri" w:hAnsi="Calibri" w:cs="Calibri"/>
          <w:b w:val="0"/>
          <w:noProof/>
          <w:color w:val="auto"/>
          <w:lang w:val="el-GR"/>
        </w:rPr>
        <w:t>Η μεγαλύτερη συγκέντρωση ανέργων καταγράφτηκε στην ηλικιακή ομάδα των 30-39 ετών (6.759 άτομα).</w:t>
      </w:r>
    </w:p>
    <w:p w:rsidR="0005381F" w:rsidRPr="0005381F" w:rsidRDefault="0005381F" w:rsidP="0005381F">
      <w:pPr>
        <w:spacing w:after="200" w:line="276" w:lineRule="auto"/>
        <w:ind w:left="142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362575" cy="2733675"/>
            <wp:effectExtent l="0" t="0" r="9525" b="9525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στα 6.184 άτομα (μείωση κατά 2.325 άτομα σε σχέση με τον ίδιο μήνα πέρσι) και αντιπροσωπεύει το 24% του συνόλου των εγγεγραμμένων ανέργων. Ο αριθμός των ανέργων που ήταν εγγεγραμμένοι στα γραφεία της ΔΥΑ για </w:t>
      </w:r>
      <w:r w:rsidRPr="0005381F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τα 3.454 άτομα (μείωση κατά 1.859 άτομα σε σχέση με τον ίδιο μήνα πέρσι) και αντιπροσωπεύει το 13%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12 μήνες. Επισημαίνεται ότι, το 58% των ανέργων είχαν διάρκεια ανεργίας </w:t>
      </w:r>
      <w:r w:rsidRPr="0005381F">
        <w:rPr>
          <w:rFonts w:ascii="Calibri" w:eastAsia="Calibri" w:hAnsi="Calibri" w:cs="Arial"/>
          <w:color w:val="auto"/>
          <w:sz w:val="22"/>
          <w:szCs w:val="22"/>
          <w:lang w:val="el-GR"/>
        </w:rPr>
        <w:t>μέχρι 3 μήνες.</w:t>
      </w:r>
    </w:p>
    <w:p w:rsidR="0005381F" w:rsidRPr="0005381F" w:rsidRDefault="0005381F" w:rsidP="0005381F">
      <w:pPr>
        <w:spacing w:line="276" w:lineRule="auto"/>
        <w:ind w:left="142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 wp14:anchorId="4BBC6016" wp14:editId="14BF0CA8">
            <wp:extent cx="5362575" cy="3028950"/>
            <wp:effectExtent l="0" t="0" r="9525" b="19050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381F" w:rsidRPr="0005381F" w:rsidRDefault="0005381F" w:rsidP="0005381F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05381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05381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15.998 άτομα (61%). Ο αντίστοιχος αριθμός τον ίδιο μήνα πέρσι ήταν 19.911 άτομα (64%). Από το σύνολο των ανέργων οι 7.137 (27%) ήταν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7.269  (24% του συνόλου των ανέργων). Σημειώνεται ότι οι μεγαλύτερες αριθμητικές μειώσεις σε σύγκριση με τον ίδιο μήνα πέρσι σημειώθηκαν ανάμεσα στους Ελληνοκυπρίων κατά 3.913 άτομα ή 20%, και των Ποντίων κατά 310 άτομα ή 26%.</w:t>
      </w:r>
    </w:p>
    <w:p w:rsidR="0005381F" w:rsidRPr="0005381F" w:rsidRDefault="0005381F" w:rsidP="00725077">
      <w:pPr>
        <w:spacing w:after="200" w:line="276" w:lineRule="auto"/>
        <w:ind w:left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238750" cy="2762250"/>
            <wp:effectExtent l="0" t="0" r="19050" b="19050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12.645</w:t>
      </w:r>
      <w:r w:rsidRPr="0005381F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(48%) είναι </w:t>
      </w:r>
      <w:r w:rsidRP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ακολουθούν οι απόφοιτοι πρωτοβάθμιας εκπαίδευσης 7.106 άτομα  (27%), και οι απόφοιτοι με τριτοβάθμια εκπαίδευση 6.303 άτομα  (24%), ενώ περίπου το 1% των ανέργων είναι χωρίς μόρφωση.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05381F" w:rsidRPr="0005381F" w:rsidRDefault="0005381F" w:rsidP="0005381F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143500" cy="2667000"/>
            <wp:effectExtent l="0" t="0" r="19050" b="1905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381F" w:rsidRPr="0005381F" w:rsidRDefault="00725077" w:rsidP="0005381F">
      <w:pPr>
        <w:tabs>
          <w:tab w:val="left" w:pos="3400"/>
        </w:tabs>
        <w:spacing w:after="200" w:line="276" w:lineRule="auto"/>
        <w:ind w:left="360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lastRenderedPageBreak/>
        <w:t xml:space="preserve">Β. 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Σύγκριση μεταξύ Δεκεμβρίου</w:t>
      </w:r>
      <w:r w:rsidR="0005381F" w:rsidRPr="0005381F">
        <w:rPr>
          <w:rFonts w:ascii="Calibri" w:eastAsia="Calibri" w:hAnsi="Calibri" w:cs="Arial"/>
          <w:i/>
          <w:iCs/>
          <w:color w:val="auto"/>
          <w:lang w:val="el-GR"/>
        </w:rPr>
        <w:t xml:space="preserve"> 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2019 και Ιανουαρίου 2020 (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="0005381F" w:rsidRPr="0005381F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):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Τον Ιανουάριο ο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αυξήθηκε</w:t>
      </w:r>
      <w:r w:rsidRPr="0005381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929 άτομα (ή 4%) σε σύγκριση με τον προηγού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αυξήθηκαν κατά 378 άτομα και οι γυναίκες κατά 551 άτομα. 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παρουσιάστηκε στην ηλικιακή ομάδα 40-49 χρονών κατά 228 άτομα.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αύξηση παρατηρήθηκε ανάμεσα στους Ελληνοκύπριους κατά 508 άτομα. 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διάρκεια ανεργίας, η μεγαλύτερη αύξηση παρουσιάστηκε στον αριθμό των ανέργων με διάρκεια ανεργίας από 3 μέχρι 6 μήνες κατά 1,657 άτομα, ενώ ο αριθμός των ανέργων με διάρκεια ανεργίας 15 ημέρες μέχρι 3 μήνες μειώθηκε κατά 951 άτομα.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τομέα οικονομικής δραστηριότητας, η μεγαλύτερη αύξηση παρατηρήθηκε στον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τομέα των ξενοδοχείων κατά 342 άτομα, και στον τομέα του εμπορίου κατά 233 άτομα.</w:t>
      </w:r>
    </w:p>
    <w:p w:rsidR="0005381F" w:rsidRPr="0005381F" w:rsidRDefault="0005381F" w:rsidP="0005381F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αύξηση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καταγράφηκε </w:t>
      </w:r>
      <w:r w:rsidRPr="0005381F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Αμμοχώστου κατά 268 και </w:t>
      </w:r>
      <w:r w:rsidRPr="0005381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στην επαρχία Λάρνακας κατά 262 άτομα.</w:t>
      </w:r>
    </w:p>
    <w:p w:rsidR="0005381F" w:rsidRPr="0005381F" w:rsidRDefault="0005381F" w:rsidP="0005381F">
      <w:pPr>
        <w:rPr>
          <w:rFonts w:ascii="Calibri" w:hAnsi="Calibri" w:cs="Arial"/>
          <w:b w:val="0"/>
          <w:bCs w:val="0"/>
          <w:i/>
          <w:iCs/>
          <w:color w:val="auto"/>
          <w:sz w:val="22"/>
          <w:szCs w:val="22"/>
          <w:lang w:val="el-GR"/>
        </w:rPr>
      </w:pPr>
    </w:p>
    <w:p w:rsidR="0005381F" w:rsidRPr="0005381F" w:rsidRDefault="00725077" w:rsidP="0005381F">
      <w:pPr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 xml:space="preserve">Γ. </w:t>
      </w:r>
      <w:r w:rsidR="0005381F" w:rsidRPr="0005381F"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>Νέες Εγγραφές</w:t>
      </w:r>
      <w:r w:rsidR="0005381F" w:rsidRPr="0005381F">
        <w:rPr>
          <w:rFonts w:ascii="Calibri" w:hAnsi="Calibri" w:cs="Arial"/>
          <w:bCs w:val="0"/>
          <w:i/>
          <w:iCs/>
          <w:color w:val="auto"/>
          <w:sz w:val="22"/>
          <w:szCs w:val="22"/>
          <w:vertAlign w:val="superscript"/>
          <w:lang w:val="el-GR"/>
        </w:rPr>
        <w:footnoteReference w:id="1"/>
      </w:r>
      <w:r w:rsidR="0005381F" w:rsidRPr="0005381F"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 xml:space="preserve"> Ανέργων κατά Επαρχία και μήνα</w:t>
      </w:r>
    </w:p>
    <w:p w:rsidR="0005381F" w:rsidRPr="0005381F" w:rsidRDefault="0005381F" w:rsidP="0005381F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05381F" w:rsidRPr="0005381F" w:rsidRDefault="0005381F" w:rsidP="0005381F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05381F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05381F" w:rsidRPr="0005381F" w:rsidRDefault="0005381F" w:rsidP="0005381F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05381F" w:rsidRPr="0005381F" w:rsidRDefault="0005381F" w:rsidP="0005381F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05381F" w:rsidRPr="0005381F" w:rsidRDefault="0005381F" w:rsidP="0005381F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05381F" w:rsidRPr="0005381F" w:rsidTr="00582CAE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Νοέμβριος 2019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 2019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 2020</w:t>
            </w:r>
          </w:p>
        </w:tc>
      </w:tr>
      <w:tr w:rsidR="0005381F" w:rsidRPr="0005381F" w:rsidTr="00582CAE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1770</w:t>
            </w:r>
          </w:p>
        </w:tc>
      </w:tr>
      <w:tr w:rsidR="0005381F" w:rsidRPr="0005381F" w:rsidTr="00582CAE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855</w:t>
            </w:r>
          </w:p>
        </w:tc>
      </w:tr>
      <w:tr w:rsidR="0005381F" w:rsidRPr="0005381F" w:rsidTr="00582CAE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695</w:t>
            </w:r>
          </w:p>
        </w:tc>
      </w:tr>
      <w:tr w:rsidR="0005381F" w:rsidRPr="0005381F" w:rsidTr="00582CAE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1389</w:t>
            </w:r>
          </w:p>
        </w:tc>
      </w:tr>
      <w:tr w:rsidR="0005381F" w:rsidRPr="0005381F" w:rsidTr="00582CAE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969</w:t>
            </w:r>
          </w:p>
        </w:tc>
      </w:tr>
      <w:tr w:rsidR="0005381F" w:rsidRPr="0005381F" w:rsidTr="00582CAE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81F" w:rsidRPr="0005381F" w:rsidRDefault="0005381F" w:rsidP="0005381F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</w:rPr>
              <w:t>12353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</w:rPr>
              <w:t>5844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381F" w:rsidRPr="0005381F" w:rsidRDefault="0005381F" w:rsidP="0005381F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5381F">
              <w:rPr>
                <w:rFonts w:ascii="Calibri" w:hAnsi="Calibri" w:cs="Arial"/>
                <w:color w:val="auto"/>
                <w:sz w:val="22"/>
                <w:szCs w:val="22"/>
              </w:rPr>
              <w:t>5678</w:t>
            </w:r>
          </w:p>
        </w:tc>
      </w:tr>
    </w:tbl>
    <w:p w:rsidR="0005381F" w:rsidRPr="0005381F" w:rsidRDefault="0005381F" w:rsidP="0005381F">
      <w:pPr>
        <w:spacing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 w:eastAsia="x-none"/>
        </w:rPr>
      </w:pPr>
    </w:p>
    <w:p w:rsidR="00C43D67" w:rsidRPr="00C43D67" w:rsidRDefault="00C43D67" w:rsidP="0005381F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FD021C" w:rsidRDefault="00FD021C">
      <w:pPr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</w:p>
    <w:p w:rsidR="00725077" w:rsidRDefault="00725077">
      <w:pPr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br w:type="page"/>
      </w:r>
    </w:p>
    <w:p w:rsidR="00B374D7" w:rsidRPr="00785231" w:rsidRDefault="00B374D7" w:rsidP="00E411AE">
      <w:pPr>
        <w:rPr>
          <w:rFonts w:ascii="Calibri" w:hAnsi="Calibri" w:cs="Calibri"/>
          <w:color w:val="auto"/>
          <w:sz w:val="22"/>
          <w:szCs w:val="22"/>
          <w:lang w:val="el-GR"/>
        </w:rPr>
      </w:pPr>
      <w:r w:rsidRPr="001378EF">
        <w:rPr>
          <w:rFonts w:ascii="Calibri" w:hAnsi="Calibri" w:cs="Calibri"/>
          <w:bCs w:val="0"/>
          <w:color w:val="auto"/>
          <w:sz w:val="22"/>
          <w:szCs w:val="22"/>
          <w:lang w:val="el-GR"/>
        </w:rPr>
        <w:lastRenderedPageBreak/>
        <w:t>Δ.</w:t>
      </w:r>
      <w:r w:rsidR="003D02C1" w:rsidRPr="001378EF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>Σ</w:t>
      </w:r>
      <w:r w:rsidR="008154E9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υνοπτική </w:t>
      </w:r>
      <w:r w:rsidR="007E455C" w:rsidRPr="00785231">
        <w:rPr>
          <w:rFonts w:ascii="Calibri" w:hAnsi="Calibri" w:cs="Calibri"/>
          <w:color w:val="auto"/>
          <w:sz w:val="22"/>
          <w:szCs w:val="22"/>
          <w:lang w:val="el-GR"/>
        </w:rPr>
        <w:t>παρουσίαση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7E455C" w:rsidRPr="00785231">
        <w:rPr>
          <w:rFonts w:ascii="Calibri" w:hAnsi="Calibri" w:cs="Calibri"/>
          <w:color w:val="auto"/>
          <w:sz w:val="22"/>
          <w:szCs w:val="22"/>
          <w:lang w:val="el-GR"/>
        </w:rPr>
        <w:t>των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Εξελίξε</w:t>
      </w:r>
      <w:r w:rsidR="007E455C" w:rsidRPr="00785231">
        <w:rPr>
          <w:rFonts w:ascii="Calibri" w:hAnsi="Calibri" w:cs="Calibri"/>
          <w:color w:val="auto"/>
          <w:sz w:val="22"/>
          <w:szCs w:val="22"/>
          <w:lang w:val="el-GR"/>
        </w:rPr>
        <w:t>ων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στην Αγορά Εργασίας κατά επαρχία το</w:t>
      </w:r>
      <w:r w:rsidR="00653268" w:rsidRPr="00785231">
        <w:rPr>
          <w:rFonts w:ascii="Calibri" w:hAnsi="Calibri" w:cs="Calibri"/>
          <w:color w:val="auto"/>
          <w:sz w:val="22"/>
          <w:szCs w:val="22"/>
          <w:lang w:val="el-GR"/>
        </w:rPr>
        <w:t>ν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A672B1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Ιανουάριο 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>του</w:t>
      </w:r>
      <w:r w:rsidR="000560C8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785231">
        <w:rPr>
          <w:rFonts w:ascii="Calibri" w:hAnsi="Calibri" w:cs="Calibri"/>
          <w:color w:val="auto"/>
          <w:sz w:val="22"/>
          <w:szCs w:val="22"/>
          <w:lang w:val="el-GR"/>
        </w:rPr>
        <w:t>20</w:t>
      </w:r>
      <w:r w:rsidR="00A672B1" w:rsidRPr="00785231">
        <w:rPr>
          <w:rFonts w:ascii="Calibri" w:hAnsi="Calibri" w:cs="Calibri"/>
          <w:color w:val="auto"/>
          <w:sz w:val="22"/>
          <w:szCs w:val="22"/>
          <w:lang w:val="el-GR"/>
        </w:rPr>
        <w:t>20</w:t>
      </w:r>
      <w:r w:rsidR="002F5F46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σε σύγκριση με τον ίδιο μήνα πέρσι</w:t>
      </w:r>
    </w:p>
    <w:p w:rsidR="00CA31D1" w:rsidRPr="00980BD7" w:rsidRDefault="00CA31D1" w:rsidP="00B374D7">
      <w:pPr>
        <w:spacing w:line="276" w:lineRule="auto"/>
        <w:rPr>
          <w:rFonts w:ascii="Calibri" w:hAnsi="Calibri" w:cs="Calibri"/>
          <w:color w:val="FF0000"/>
          <w:sz w:val="16"/>
          <w:szCs w:val="16"/>
          <w:u w:val="single"/>
          <w:lang w:val="el-GR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5046D0" w:rsidRPr="005046D0" w:rsidTr="005E2038">
        <w:trPr>
          <w:trHeight w:val="462"/>
        </w:trPr>
        <w:tc>
          <w:tcPr>
            <w:tcW w:w="1756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47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0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27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48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3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87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5046D0" w:rsidRPr="005046D0" w:rsidTr="005E2038">
        <w:trPr>
          <w:trHeight w:val="937"/>
        </w:trPr>
        <w:tc>
          <w:tcPr>
            <w:tcW w:w="1756" w:type="dxa"/>
          </w:tcPr>
          <w:p w:rsidR="00574FDE" w:rsidRPr="005046D0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5046D0" w:rsidRDefault="0035798A" w:rsidP="007E2B80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5046D0">
              <w:rPr>
                <w:rFonts w:asciiTheme="minorHAnsi" w:hAnsiTheme="minorHAnsi" w:cs="Calibri"/>
                <w:b w:val="0"/>
                <w:color w:val="auto"/>
                <w:sz w:val="20"/>
                <w:szCs w:val="20"/>
              </w:rPr>
              <w:t>(</w:t>
            </w:r>
            <w:r w:rsidR="007E2B80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1378E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</w:rPr>
              <w:t xml:space="preserve">o </w:t>
            </w:r>
            <w:r w:rsidR="001378E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τρίμηνο</w:t>
            </w:r>
            <w:r w:rsidRPr="005046D0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201</w:t>
            </w:r>
            <w:r w:rsidR="001378E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9</w:t>
            </w:r>
            <w:r w:rsidRPr="005046D0">
              <w:rPr>
                <w:rFonts w:asciiTheme="minorHAnsi" w:hAnsiTheme="minorHAnsi" w:cs="Calibr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CA31D1" w:rsidRPr="005046D0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B66E4" w:rsidRDefault="00BB36F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1378E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47364</w:t>
            </w:r>
          </w:p>
          <w:p w:rsidR="0035798A" w:rsidRPr="005046D0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0" w:type="dxa"/>
          </w:tcPr>
          <w:p w:rsidR="007E455C" w:rsidRPr="005046D0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B66E4" w:rsidRDefault="00BB36F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67BA8"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1378E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9084</w:t>
            </w:r>
          </w:p>
          <w:p w:rsidR="007E455C" w:rsidRPr="005046D0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27" w:type="dxa"/>
          </w:tcPr>
          <w:p w:rsidR="00CA31D1" w:rsidRPr="005046D0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B66E4" w:rsidRDefault="001378EF" w:rsidP="00FB66E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123670</w:t>
            </w:r>
          </w:p>
        </w:tc>
        <w:tc>
          <w:tcPr>
            <w:tcW w:w="1148" w:type="dxa"/>
          </w:tcPr>
          <w:p w:rsidR="00CA31D1" w:rsidRPr="005046D0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1378EF" w:rsidRDefault="001378EF" w:rsidP="00FB66E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75910</w:t>
            </w:r>
          </w:p>
        </w:tc>
        <w:tc>
          <w:tcPr>
            <w:tcW w:w="1413" w:type="dxa"/>
          </w:tcPr>
          <w:p w:rsidR="00CA31D1" w:rsidRPr="005046D0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B66E4" w:rsidRDefault="001378EF" w:rsidP="00FB66E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25090</w:t>
            </w:r>
          </w:p>
        </w:tc>
        <w:tc>
          <w:tcPr>
            <w:tcW w:w="987" w:type="dxa"/>
          </w:tcPr>
          <w:p w:rsidR="00CA31D1" w:rsidRPr="005046D0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B66E4" w:rsidRDefault="001378EF" w:rsidP="005C299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43610</w:t>
            </w:r>
          </w:p>
        </w:tc>
      </w:tr>
      <w:tr w:rsidR="006145C7" w:rsidRPr="006145C7" w:rsidTr="005E2038">
        <w:trPr>
          <w:trHeight w:val="707"/>
        </w:trPr>
        <w:tc>
          <w:tcPr>
            <w:tcW w:w="1756" w:type="dxa"/>
          </w:tcPr>
          <w:p w:rsidR="00CA31D1" w:rsidRPr="00BF7973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9A4E56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F797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BF7973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47" w:type="dxa"/>
          </w:tcPr>
          <w:p w:rsidR="00C70D27" w:rsidRPr="00801949" w:rsidRDefault="009A4E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80194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6.214</w:t>
            </w:r>
          </w:p>
          <w:p w:rsidR="00133A83" w:rsidRPr="00BF7973" w:rsidRDefault="00FD0A5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80194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737</w:t>
            </w:r>
            <w:r w:rsidR="00133A83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BF7973" w:rsidRDefault="008864EE" w:rsidP="009A4E5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B3FD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133A83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0" w:type="dxa"/>
          </w:tcPr>
          <w:p w:rsidR="00CA31D1" w:rsidRPr="00801949" w:rsidRDefault="00801949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943</w:t>
            </w:r>
          </w:p>
          <w:p w:rsidR="007E455C" w:rsidRPr="00BF7973" w:rsidRDefault="002F5F46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E67DC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0194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857</w:t>
            </w:r>
            <w:r w:rsidR="007E455C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7E455C" w:rsidRPr="00BF7973" w:rsidRDefault="007E455C" w:rsidP="0080194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8864EE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80194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27" w:type="dxa"/>
          </w:tcPr>
          <w:p w:rsidR="00CA31D1" w:rsidRPr="00801949" w:rsidRDefault="009A4E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51</w:t>
            </w:r>
            <w:r w:rsidR="0080194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85</w:t>
            </w:r>
          </w:p>
          <w:p w:rsidR="007E455C" w:rsidRPr="00BF7973" w:rsidRDefault="00F1277D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8220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0194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236</w:t>
            </w:r>
            <w:r w:rsidR="007E455C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7E455C" w:rsidRPr="00BF7973" w:rsidRDefault="008864EE" w:rsidP="002E65F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E65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</w:t>
            </w:r>
            <w:r w:rsidR="007E455C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48" w:type="dxa"/>
          </w:tcPr>
          <w:p w:rsidR="00CA31D1" w:rsidRPr="00801949" w:rsidRDefault="002E65F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80194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433</w:t>
            </w:r>
          </w:p>
          <w:p w:rsidR="00AB7A1A" w:rsidRPr="00BF7973" w:rsidRDefault="002F5F46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0194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85</w:t>
            </w:r>
            <w:r w:rsidR="008B3FD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BF7973" w:rsidRDefault="008864EE" w:rsidP="009A4E56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B3FD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3" w:type="dxa"/>
          </w:tcPr>
          <w:p w:rsidR="00CA31D1" w:rsidRPr="00801949" w:rsidRDefault="009A4E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80194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524</w:t>
            </w:r>
          </w:p>
          <w:p w:rsidR="00D70016" w:rsidRPr="00BF7973" w:rsidRDefault="00801949" w:rsidP="00D70016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D70016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206B2B" w:rsidRPr="00801949" w:rsidRDefault="00801949" w:rsidP="001F7966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1%</w:t>
            </w:r>
          </w:p>
        </w:tc>
        <w:tc>
          <w:tcPr>
            <w:tcW w:w="987" w:type="dxa"/>
          </w:tcPr>
          <w:p w:rsidR="00CA31D1" w:rsidRPr="00801949" w:rsidRDefault="00801949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4129</w:t>
            </w:r>
          </w:p>
          <w:p w:rsidR="00206B2B" w:rsidRPr="00BF7973" w:rsidRDefault="00D138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80194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55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206B2B" w:rsidRPr="00BF7973" w:rsidRDefault="006F3F45" w:rsidP="009A4E56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E65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9A4E56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6145C7" w:rsidRPr="006145C7" w:rsidTr="005E2038">
        <w:trPr>
          <w:trHeight w:val="923"/>
        </w:trPr>
        <w:tc>
          <w:tcPr>
            <w:tcW w:w="1756" w:type="dxa"/>
          </w:tcPr>
          <w:p w:rsidR="00CA31D1" w:rsidRPr="005E0A69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5E0A69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E0A69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47" w:type="dxa"/>
          </w:tcPr>
          <w:p w:rsidR="00C70D27" w:rsidRPr="005E0A69" w:rsidRDefault="005E0A69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8003</w:t>
            </w:r>
          </w:p>
          <w:p w:rsidR="00133A83" w:rsidRPr="005E0A69" w:rsidRDefault="0066333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444</w:t>
            </w:r>
            <w:r w:rsidR="00626E34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5E0A69" w:rsidRDefault="00663338" w:rsidP="005E0A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325BC5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0" w:type="dxa"/>
          </w:tcPr>
          <w:p w:rsidR="00574FDE" w:rsidRPr="005E0A69" w:rsidRDefault="00686EF5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89</w:t>
            </w:r>
            <w:r w:rsidR="005E0A69"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C24A58" w:rsidRPr="005E0A69" w:rsidRDefault="002E65F1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218</w:t>
            </w:r>
            <w:r w:rsidR="00D345BD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913D79" w:rsidRPr="005E0A69" w:rsidRDefault="002E65F1" w:rsidP="005E0A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20</w:t>
            </w:r>
            <w:r w:rsidR="00913D7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27" w:type="dxa"/>
          </w:tcPr>
          <w:p w:rsidR="00574FDE" w:rsidRPr="005E0A69" w:rsidRDefault="00686EF5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  <w:r w:rsidR="005E0A69"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206B2B"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C24A58" w:rsidRPr="005E0A69" w:rsidRDefault="00A303D2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52</w:t>
            </w:r>
            <w:r w:rsidR="0077355D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206B2B" w:rsidRPr="005E0A69" w:rsidRDefault="0077355D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303D2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48" w:type="dxa"/>
          </w:tcPr>
          <w:p w:rsidR="001D6A77" w:rsidRPr="005E0A69" w:rsidRDefault="005E0A69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97</w:t>
            </w:r>
            <w:r w:rsidR="00686EF5"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1D6A77"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902F6" w:rsidRPr="005E0A69" w:rsidRDefault="00723F42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686EF5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12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</w:p>
          <w:p w:rsidR="002E65F1" w:rsidRPr="005E0A69" w:rsidRDefault="002E65F1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686EF5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  <w:tc>
          <w:tcPr>
            <w:tcW w:w="1413" w:type="dxa"/>
          </w:tcPr>
          <w:p w:rsidR="007902F6" w:rsidRPr="005E0A69" w:rsidRDefault="00686EF5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5E0A69"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158</w:t>
            </w:r>
            <w:r w:rsidR="00574FDE"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902F6" w:rsidRPr="005E0A69" w:rsidRDefault="002E65F1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86</w:t>
            </w:r>
            <w:r w:rsidR="00367F7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5E0A69" w:rsidRDefault="00686EF5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367F7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87" w:type="dxa"/>
          </w:tcPr>
          <w:p w:rsidR="00C53053" w:rsidRPr="005E0A69" w:rsidRDefault="002E65F1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E0A69"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947</w:t>
            </w:r>
          </w:p>
          <w:p w:rsidR="00A303D2" w:rsidRPr="005E0A69" w:rsidRDefault="0077711A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235</w:t>
            </w:r>
            <w:r w:rsidR="00691E2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691E2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691E23" w:rsidRPr="005E0A69" w:rsidRDefault="0077711A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5644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691E2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6145C7" w:rsidRPr="006145C7" w:rsidTr="005E2038">
        <w:trPr>
          <w:trHeight w:val="937"/>
        </w:trPr>
        <w:tc>
          <w:tcPr>
            <w:tcW w:w="1756" w:type="dxa"/>
          </w:tcPr>
          <w:p w:rsidR="00CA31D1" w:rsidRPr="006401E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6401E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6401E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47" w:type="dxa"/>
          </w:tcPr>
          <w:p w:rsidR="00C70D27" w:rsidRPr="00DF0965" w:rsidRDefault="00C630E4" w:rsidP="00C630E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</w:t>
            </w:r>
            <w:r w:rsidR="00956449"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 </w:t>
            </w:r>
            <w:r w:rsidR="00686EF5">
              <w:rPr>
                <w:rFonts w:asciiTheme="minorHAnsi" w:hAnsiTheme="minorHAnsi" w:cs="Calibri"/>
                <w:color w:val="auto"/>
                <w:sz w:val="22"/>
                <w:szCs w:val="22"/>
              </w:rPr>
              <w:t>14</w:t>
            </w:r>
            <w:r w:rsid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64</w:t>
            </w:r>
          </w:p>
          <w:p w:rsidR="0046496C" w:rsidRDefault="005E0A6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-40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686EF5" w:rsidRPr="00686EF5" w:rsidRDefault="005E0A6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-3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6401E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0" w:type="dxa"/>
          </w:tcPr>
          <w:p w:rsidR="004824AF" w:rsidRPr="005E0A69" w:rsidRDefault="004824AF" w:rsidP="004824A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    3</w:t>
            </w:r>
            <w:r w:rsidR="00686EF5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  <w:r w:rsid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4824AF" w:rsidRPr="006401E1" w:rsidRDefault="004824AF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F096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6401E1" w:rsidRDefault="004824AF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6401E1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27" w:type="dxa"/>
          </w:tcPr>
          <w:p w:rsidR="00F43A51" w:rsidRPr="006401E1" w:rsidRDefault="00DF0965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23</w:t>
            </w:r>
            <w:r w:rsidR="00F35950"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F35950" w:rsidRPr="006401E1" w:rsidRDefault="005E0A6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-15</w:t>
            </w:r>
            <w:r w:rsidR="00D345BD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6401E1" w:rsidRDefault="005E0A69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-4</w:t>
            </w:r>
            <w:r w:rsidR="00D345BD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48" w:type="dxa"/>
          </w:tcPr>
          <w:p w:rsidR="0077355D" w:rsidRPr="005E0A69" w:rsidRDefault="005E0A69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300</w:t>
            </w:r>
          </w:p>
          <w:p w:rsidR="00F35950" w:rsidRPr="006401E1" w:rsidRDefault="005E0A6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17</w:t>
            </w:r>
            <w:r w:rsidR="00F35950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F35950" w:rsidRPr="006401E1" w:rsidRDefault="005E0A69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F35950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3" w:type="dxa"/>
          </w:tcPr>
          <w:p w:rsidR="00F43A51" w:rsidRPr="006401E1" w:rsidRDefault="00686EF5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35950"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686EF5" w:rsidRDefault="005E0A69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10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6401E1" w:rsidRDefault="005E0A69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87" w:type="dxa"/>
          </w:tcPr>
          <w:p w:rsidR="00F35950" w:rsidRPr="005E0A69" w:rsidRDefault="00686EF5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02</w:t>
            </w:r>
          </w:p>
          <w:p w:rsidR="00D345BD" w:rsidRPr="005E0A69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  </w:t>
            </w:r>
            <w:r w:rsid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-6</w:t>
            </w:r>
          </w:p>
          <w:p w:rsidR="00DF0965" w:rsidRPr="00DF0965" w:rsidRDefault="005E0A69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-3</w:t>
            </w:r>
            <w:r w:rsidR="00DF096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5C299A" w:rsidRPr="005C299A" w:rsidTr="005E2038">
        <w:trPr>
          <w:trHeight w:val="937"/>
        </w:trPr>
        <w:tc>
          <w:tcPr>
            <w:tcW w:w="1756" w:type="dxa"/>
          </w:tcPr>
          <w:p w:rsidR="00CA31D1" w:rsidRPr="00D21872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2187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D2187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D2187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AA4D9D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2187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D2187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47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AA4D9D" w:rsidRDefault="00D2187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716</w:t>
            </w:r>
          </w:p>
          <w:p w:rsidR="00133A83" w:rsidRPr="00AA4D9D" w:rsidRDefault="00133A83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0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555</w:t>
            </w:r>
          </w:p>
        </w:tc>
        <w:tc>
          <w:tcPr>
            <w:tcW w:w="1027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CE3BA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386</w:t>
            </w:r>
          </w:p>
        </w:tc>
        <w:tc>
          <w:tcPr>
            <w:tcW w:w="1148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45011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225</w:t>
            </w:r>
          </w:p>
        </w:tc>
        <w:tc>
          <w:tcPr>
            <w:tcW w:w="1413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217</w:t>
            </w:r>
          </w:p>
        </w:tc>
        <w:tc>
          <w:tcPr>
            <w:tcW w:w="987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333</w:t>
            </w:r>
          </w:p>
        </w:tc>
      </w:tr>
      <w:tr w:rsidR="005046D0" w:rsidRPr="005C299A" w:rsidTr="005E2038">
        <w:trPr>
          <w:trHeight w:val="707"/>
        </w:trPr>
        <w:tc>
          <w:tcPr>
            <w:tcW w:w="1756" w:type="dxa"/>
          </w:tcPr>
          <w:p w:rsidR="00CA31D1" w:rsidRPr="00AA4D9D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A4D9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7E455C" w:rsidRPr="00AA4D9D" w:rsidRDefault="007E455C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A4D9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47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5E0A69" w:rsidRDefault="005E0A69" w:rsidP="00D2187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9869</w:t>
            </w:r>
          </w:p>
        </w:tc>
        <w:tc>
          <w:tcPr>
            <w:tcW w:w="1230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B0247A" w:rsidRDefault="005E0A69" w:rsidP="00D2187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2832</w:t>
            </w:r>
          </w:p>
        </w:tc>
        <w:tc>
          <w:tcPr>
            <w:tcW w:w="1027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D47AE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3285</w:t>
            </w:r>
          </w:p>
          <w:p w:rsidR="00D47AE6" w:rsidRPr="00AA4D9D" w:rsidRDefault="00D47AE6" w:rsidP="00D47AE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AA4D9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1649</w:t>
            </w:r>
          </w:p>
        </w:tc>
        <w:tc>
          <w:tcPr>
            <w:tcW w:w="1413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6F6D8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942</w:t>
            </w:r>
          </w:p>
        </w:tc>
        <w:tc>
          <w:tcPr>
            <w:tcW w:w="987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5E0A69" w:rsidP="00BD73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1161</w:t>
            </w:r>
          </w:p>
          <w:p w:rsidR="0011709B" w:rsidRPr="00AA4D9D" w:rsidRDefault="0011709B" w:rsidP="00BD73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</w:tr>
    </w:tbl>
    <w:p w:rsidR="00645242" w:rsidRPr="005C299A" w:rsidRDefault="00645242" w:rsidP="00B374D7">
      <w:pPr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D17AB" w:rsidRPr="005046D0" w:rsidRDefault="002D17AB" w:rsidP="00B04C44">
      <w:pPr>
        <w:rPr>
          <w:rFonts w:ascii="Calibri" w:hAnsi="Calibri" w:cs="Calibri"/>
          <w:color w:val="auto"/>
        </w:rPr>
      </w:pPr>
    </w:p>
    <w:p w:rsidR="00764E4A" w:rsidRPr="005046D0" w:rsidRDefault="0093696A" w:rsidP="00B04C44">
      <w:pPr>
        <w:rPr>
          <w:rFonts w:ascii="Calibri" w:hAnsi="Calibri" w:cs="Calibri"/>
          <w:color w:val="auto"/>
          <w:lang w:val="el-GR"/>
        </w:rPr>
      </w:pPr>
      <w:r w:rsidRPr="005046D0">
        <w:rPr>
          <w:rFonts w:ascii="Calibri" w:hAnsi="Calibri" w:cs="Calibri"/>
          <w:color w:val="auto"/>
          <w:lang w:val="el-GR"/>
        </w:rPr>
        <w:t xml:space="preserve">ΣΗΜΕΙΩΣΗ: </w:t>
      </w:r>
      <w:r w:rsidR="00B45922" w:rsidRPr="005046D0">
        <w:rPr>
          <w:rFonts w:ascii="Calibri" w:hAnsi="Calibri" w:cs="Calibri"/>
          <w:color w:val="auto"/>
          <w:lang w:val="el-GR"/>
        </w:rPr>
        <w:t xml:space="preserve">Για πρόσθετη πληροφόρηση υπάρχουν οι συνημμένοι πίνακες στο </w:t>
      </w:r>
      <w:r w:rsidRPr="005046D0">
        <w:rPr>
          <w:rFonts w:ascii="Calibri" w:hAnsi="Calibri" w:cs="Calibri"/>
          <w:color w:val="auto"/>
          <w:lang w:val="el-GR"/>
        </w:rPr>
        <w:t>τέλος της Έκθεσης</w:t>
      </w:r>
      <w:r w:rsidR="00B45922" w:rsidRPr="005046D0">
        <w:rPr>
          <w:rFonts w:ascii="Calibri" w:hAnsi="Calibri" w:cs="Calibri"/>
          <w:color w:val="auto"/>
          <w:lang w:val="el-GR"/>
        </w:rPr>
        <w:t>.</w:t>
      </w:r>
    </w:p>
    <w:p w:rsidR="00E10845" w:rsidRDefault="00E10845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764E4A" w:rsidRPr="00E411AE" w:rsidRDefault="00764E4A" w:rsidP="00B04C44">
      <w:pPr>
        <w:rPr>
          <w:rFonts w:ascii="Calibri" w:hAnsi="Calibri" w:cs="Calibri"/>
          <w:bCs w:val="0"/>
          <w:color w:val="auto"/>
          <w:lang w:val="el-GR"/>
        </w:rPr>
      </w:pPr>
    </w:p>
    <w:p w:rsidR="00B04C44" w:rsidRPr="00E411AE" w:rsidRDefault="00B04C44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>ΚΕΦΑΛΑΙΟ ΙΙ:</w:t>
      </w:r>
    </w:p>
    <w:p w:rsidR="00E27309" w:rsidRPr="00E411AE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411AE">
        <w:rPr>
          <w:rFonts w:ascii="Calibri" w:hAnsi="Calibri" w:cs="Calibri"/>
          <w:bCs w:val="0"/>
          <w:color w:val="auto"/>
          <w:lang w:val="el-GR"/>
        </w:rPr>
        <w:t>12+,</w:t>
      </w: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>
        <w:rPr>
          <w:rFonts w:ascii="Calibri" w:hAnsi="Calibri" w:cs="Calibri"/>
          <w:bCs w:val="0"/>
          <w:color w:val="auto"/>
          <w:lang w:val="el-GR"/>
        </w:rPr>
        <w:t>ΙΑΝΟΥΑΡΙΟΣ 2020</w:t>
      </w:r>
    </w:p>
    <w:p w:rsidR="00B80600" w:rsidRPr="00E411AE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auto"/>
          <w:sz w:val="8"/>
          <w:szCs w:val="8"/>
          <w:lang w:val="el-GR"/>
        </w:rPr>
      </w:pPr>
    </w:p>
    <w:p w:rsidR="00E27309" w:rsidRPr="00E411AE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auto"/>
          <w:lang w:val="el-GR"/>
        </w:rPr>
      </w:pPr>
    </w:p>
    <w:p w:rsidR="00CE5112" w:rsidRPr="00E411AE" w:rsidRDefault="009024D8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706865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706865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706865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706865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945F91" w:rsidRPr="00706865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9352CF">
        <w:rPr>
          <w:rFonts w:asciiTheme="minorHAnsi" w:hAnsiTheme="minorHAnsi" w:cs="Arial"/>
          <w:b w:val="0"/>
          <w:color w:val="auto"/>
          <w:lang w:val="el-GR"/>
        </w:rPr>
        <w:t>Ιανουάριο</w:t>
      </w:r>
      <w:r w:rsidR="001D7C87"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706865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>
        <w:rPr>
          <w:rFonts w:asciiTheme="minorHAnsi" w:hAnsiTheme="minorHAnsi" w:cs="Arial"/>
          <w:b w:val="0"/>
          <w:color w:val="auto"/>
          <w:lang w:val="el-GR"/>
        </w:rPr>
        <w:t>20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083DA8" w:rsidRPr="00706865">
        <w:rPr>
          <w:rFonts w:asciiTheme="minorHAnsi" w:hAnsiTheme="minorHAnsi" w:cs="Arial"/>
          <w:b w:val="0"/>
          <w:color w:val="auto"/>
          <w:lang w:val="el-GR"/>
        </w:rPr>
        <w:t>3.</w:t>
      </w:r>
      <w:r w:rsidR="00C259C7" w:rsidRPr="00706865">
        <w:rPr>
          <w:rFonts w:asciiTheme="minorHAnsi" w:hAnsiTheme="minorHAnsi" w:cs="Arial"/>
          <w:b w:val="0"/>
          <w:color w:val="auto"/>
          <w:lang w:val="el-GR"/>
        </w:rPr>
        <w:t>4</w:t>
      </w:r>
      <w:r w:rsidR="009352CF">
        <w:rPr>
          <w:rFonts w:asciiTheme="minorHAnsi" w:hAnsiTheme="minorHAnsi" w:cs="Arial"/>
          <w:b w:val="0"/>
          <w:color w:val="auto"/>
          <w:lang w:val="el-GR"/>
        </w:rPr>
        <w:t>54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3D25C3" w:rsidRPr="00706865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706865" w:rsidRPr="00706865">
        <w:rPr>
          <w:rFonts w:asciiTheme="minorHAnsi" w:hAnsiTheme="minorHAnsi" w:cs="Arial"/>
          <w:b w:val="0"/>
          <w:color w:val="auto"/>
          <w:lang w:val="el-GR"/>
        </w:rPr>
        <w:t>1.</w:t>
      </w:r>
      <w:r w:rsidR="009352CF">
        <w:rPr>
          <w:rFonts w:asciiTheme="minorHAnsi" w:hAnsiTheme="minorHAnsi" w:cs="Arial"/>
          <w:b w:val="0"/>
          <w:color w:val="auto"/>
          <w:lang w:val="el-GR"/>
        </w:rPr>
        <w:t>859</w:t>
      </w:r>
      <w:r w:rsidR="00B0521E"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083DA8" w:rsidRPr="00706865">
        <w:rPr>
          <w:rFonts w:asciiTheme="minorHAnsi" w:hAnsiTheme="minorHAnsi" w:cs="Arial"/>
          <w:b w:val="0"/>
          <w:color w:val="auto"/>
          <w:lang w:val="el-GR"/>
        </w:rPr>
        <w:t>3</w:t>
      </w:r>
      <w:r w:rsidR="009352CF">
        <w:rPr>
          <w:rFonts w:asciiTheme="minorHAnsi" w:hAnsiTheme="minorHAnsi" w:cs="Arial"/>
          <w:b w:val="0"/>
          <w:color w:val="auto"/>
          <w:lang w:val="el-GR"/>
        </w:rPr>
        <w:t>5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>.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C22F3" w:rsidRPr="00706865">
        <w:rPr>
          <w:rFonts w:asciiTheme="minorHAnsi" w:hAnsiTheme="minorHAnsi" w:cs="Arial"/>
          <w:b w:val="0"/>
          <w:color w:val="auto"/>
          <w:lang w:val="el-GR"/>
        </w:rPr>
        <w:t>1</w:t>
      </w:r>
      <w:r w:rsidR="009352CF">
        <w:rPr>
          <w:rFonts w:asciiTheme="minorHAnsi" w:hAnsiTheme="minorHAnsi" w:cs="Arial"/>
          <w:b w:val="0"/>
          <w:color w:val="auto"/>
          <w:lang w:val="el-GR"/>
        </w:rPr>
        <w:t>3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352CF">
        <w:rPr>
          <w:rFonts w:asciiTheme="minorHAnsi" w:hAnsiTheme="minorHAnsi" w:cs="Arial"/>
          <w:b w:val="0"/>
          <w:color w:val="auto"/>
          <w:lang w:val="el-GR"/>
        </w:rPr>
        <w:t xml:space="preserve">μικρή </w:t>
      </w:r>
      <w:r w:rsidR="000E5E96" w:rsidRPr="00706865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706865" w:rsidRPr="00706865">
        <w:rPr>
          <w:rFonts w:asciiTheme="minorHAnsi" w:hAnsiTheme="minorHAnsi" w:cs="Arial"/>
          <w:b w:val="0"/>
          <w:color w:val="auto"/>
          <w:lang w:val="el-GR"/>
        </w:rPr>
        <w:t>2</w:t>
      </w:r>
      <w:r w:rsidR="009352CF">
        <w:rPr>
          <w:rFonts w:asciiTheme="minorHAnsi" w:hAnsiTheme="minorHAnsi" w:cs="Arial"/>
          <w:b w:val="0"/>
          <w:color w:val="auto"/>
          <w:lang w:val="el-GR"/>
        </w:rPr>
        <w:t>4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άτομα [βλέπε πίνακα  </w:t>
      </w:r>
      <w:r w:rsidR="00B20282" w:rsidRPr="00706865">
        <w:rPr>
          <w:rFonts w:asciiTheme="minorHAnsi" w:hAnsiTheme="minorHAnsi" w:cs="Arial"/>
          <w:b w:val="0"/>
          <w:color w:val="auto"/>
          <w:lang w:val="el-GR"/>
        </w:rPr>
        <w:t>26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A25E37" w:rsidRPr="00445650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A25E37" w:rsidRPr="00445650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445650">
        <w:rPr>
          <w:rFonts w:asciiTheme="minorHAnsi" w:hAnsiTheme="minorHAnsi" w:cs="Arial"/>
          <w:b w:val="0"/>
          <w:color w:val="auto"/>
          <w:lang w:val="el-GR"/>
        </w:rPr>
        <w:t>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445650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445650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A93B11">
        <w:rPr>
          <w:rFonts w:asciiTheme="minorHAnsi" w:hAnsiTheme="minorHAnsi" w:cs="Arial"/>
          <w:b w:val="0"/>
          <w:color w:val="auto"/>
          <w:lang w:val="el-GR"/>
        </w:rPr>
        <w:t>6.</w:t>
      </w:r>
      <w:r w:rsidR="009352CF">
        <w:rPr>
          <w:rFonts w:asciiTheme="minorHAnsi" w:hAnsiTheme="minorHAnsi" w:cs="Arial"/>
          <w:b w:val="0"/>
          <w:color w:val="auto"/>
          <w:lang w:val="el-GR"/>
        </w:rPr>
        <w:t>184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9352CF">
        <w:rPr>
          <w:rFonts w:asciiTheme="minorHAnsi" w:hAnsiTheme="minorHAnsi" w:cs="Arial"/>
          <w:b w:val="0"/>
          <w:color w:val="auto"/>
          <w:lang w:val="el-GR"/>
        </w:rPr>
        <w:t xml:space="preserve">Ιανουάριο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>
        <w:rPr>
          <w:rFonts w:asciiTheme="minorHAnsi" w:hAnsiTheme="minorHAnsi" w:cs="Arial"/>
          <w:b w:val="0"/>
          <w:color w:val="auto"/>
          <w:lang w:val="el-GR"/>
        </w:rPr>
        <w:t>20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μείωση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902AB" w:rsidRPr="00445650">
        <w:rPr>
          <w:rFonts w:asciiTheme="minorHAnsi" w:hAnsiTheme="minorHAnsi" w:cs="Arial"/>
          <w:b w:val="0"/>
          <w:color w:val="auto"/>
          <w:lang w:val="el-GR"/>
        </w:rPr>
        <w:t>2.</w:t>
      </w:r>
      <w:r w:rsidR="00706865">
        <w:rPr>
          <w:rFonts w:asciiTheme="minorHAnsi" w:hAnsiTheme="minorHAnsi" w:cs="Arial"/>
          <w:b w:val="0"/>
          <w:color w:val="auto"/>
          <w:lang w:val="el-GR"/>
        </w:rPr>
        <w:t>3</w:t>
      </w:r>
      <w:r w:rsidR="009352CF">
        <w:rPr>
          <w:rFonts w:asciiTheme="minorHAnsi" w:hAnsiTheme="minorHAnsi" w:cs="Arial"/>
          <w:b w:val="0"/>
          <w:color w:val="auto"/>
          <w:lang w:val="el-GR"/>
        </w:rPr>
        <w:t>25</w:t>
      </w:r>
      <w:r w:rsidR="00053F40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A55AEC" w:rsidRPr="00445650">
        <w:rPr>
          <w:rFonts w:asciiTheme="minorHAnsi" w:hAnsiTheme="minorHAnsi" w:cs="Arial"/>
          <w:b w:val="0"/>
          <w:color w:val="auto"/>
          <w:lang w:val="el-GR"/>
        </w:rPr>
        <w:t>2</w:t>
      </w:r>
      <w:r w:rsidR="005C22F3" w:rsidRPr="005C22F3">
        <w:rPr>
          <w:rFonts w:asciiTheme="minorHAnsi" w:hAnsiTheme="minorHAnsi" w:cs="Arial"/>
          <w:b w:val="0"/>
          <w:color w:val="auto"/>
          <w:lang w:val="el-GR"/>
        </w:rPr>
        <w:t>7</w:t>
      </w:r>
      <w:r w:rsidR="00970125">
        <w:rPr>
          <w:rFonts w:asciiTheme="minorHAnsi" w:hAnsiTheme="minorHAnsi" w:cs="Arial"/>
          <w:b w:val="0"/>
          <w:color w:val="auto"/>
          <w:lang w:val="el-GR"/>
        </w:rPr>
        <w:t>,</w:t>
      </w:r>
      <w:r w:rsidR="009352CF">
        <w:rPr>
          <w:rFonts w:asciiTheme="minorHAnsi" w:hAnsiTheme="minorHAnsi" w:cs="Arial"/>
          <w:b w:val="0"/>
          <w:color w:val="auto"/>
          <w:lang w:val="el-GR"/>
        </w:rPr>
        <w:t>3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445650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C22F3" w:rsidRPr="005C22F3">
        <w:rPr>
          <w:rFonts w:asciiTheme="minorHAnsi" w:hAnsiTheme="minorHAnsi" w:cs="Arial"/>
          <w:b w:val="0"/>
          <w:color w:val="auto"/>
          <w:lang w:val="el-GR"/>
        </w:rPr>
        <w:t>2</w:t>
      </w:r>
      <w:r w:rsidR="009352CF">
        <w:rPr>
          <w:rFonts w:asciiTheme="minorHAnsi" w:hAnsiTheme="minorHAnsi" w:cs="Arial"/>
          <w:b w:val="0"/>
          <w:color w:val="auto"/>
          <w:lang w:val="el-GR"/>
        </w:rPr>
        <w:t>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352CF">
        <w:rPr>
          <w:rFonts w:asciiTheme="minorHAnsi" w:hAnsiTheme="minorHAnsi" w:cs="Arial"/>
          <w:b w:val="0"/>
          <w:color w:val="auto"/>
          <w:lang w:val="el-GR"/>
        </w:rPr>
        <w:t>91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</w:t>
      </w:r>
      <w:r w:rsidR="002B1394" w:rsidRPr="0044565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C22F3" w:rsidRPr="005C22F3">
        <w:rPr>
          <w:rFonts w:asciiTheme="minorHAnsi" w:hAnsiTheme="minorHAnsi" w:cs="Arial"/>
          <w:b w:val="0"/>
          <w:color w:val="auto"/>
          <w:lang w:val="el-GR"/>
        </w:rPr>
        <w:t>1</w:t>
      </w:r>
      <w:r w:rsidR="00A93B11">
        <w:rPr>
          <w:rFonts w:asciiTheme="minorHAnsi" w:hAnsiTheme="minorHAnsi" w:cs="Arial"/>
          <w:b w:val="0"/>
          <w:color w:val="auto"/>
          <w:lang w:val="el-GR"/>
        </w:rPr>
        <w:t>,</w:t>
      </w:r>
      <w:r w:rsidR="009352CF">
        <w:rPr>
          <w:rFonts w:asciiTheme="minorHAnsi" w:hAnsiTheme="minorHAnsi" w:cs="Arial"/>
          <w:b w:val="0"/>
          <w:color w:val="auto"/>
          <w:lang w:val="el-GR"/>
        </w:rPr>
        <w:t>5</w:t>
      </w:r>
      <w:r w:rsidR="002B1394" w:rsidRPr="00445650">
        <w:rPr>
          <w:rFonts w:asciiTheme="minorHAnsi" w:hAnsiTheme="minorHAnsi" w:cs="Arial"/>
          <w:b w:val="0"/>
          <w:color w:val="auto"/>
          <w:lang w:val="el-GR"/>
        </w:rPr>
        <w:t>%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26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445650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CE5112" w:rsidRPr="00445650" w:rsidRDefault="009024D8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445650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445650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445650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445650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445650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445650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445650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EF2416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D6EF5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%, </w:t>
      </w:r>
      <w:r w:rsidR="00003C1F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706865">
        <w:rPr>
          <w:rFonts w:ascii="Calibri" w:eastAsia="MS Mincho" w:hAnsi="Calibri" w:cs="Arial"/>
          <w:b w:val="0"/>
          <w:bCs w:val="0"/>
          <w:color w:val="auto"/>
          <w:lang w:val="el-GR"/>
        </w:rPr>
        <w:t>30</w:t>
      </w:r>
      <w:r w:rsidR="00865F84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%, Λάρνακας 1</w:t>
      </w:r>
      <w:r w:rsidR="00472C7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%, Πάφο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υ 1</w:t>
      </w:r>
      <w:r w:rsidR="00125F54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% και Αμμοχώστου </w:t>
      </w:r>
      <w:r w:rsidR="00AD6EF5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 [Π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445650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7707C" w:rsidRPr="00445650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445650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 μακροχρόνια ανέργων είναι </w:t>
      </w:r>
      <w:r w:rsidR="008F54C4" w:rsidRPr="00445650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9679EE" w:rsidRPr="009679EE">
        <w:rPr>
          <w:rFonts w:asciiTheme="minorHAnsi" w:hAnsiTheme="minorHAnsi" w:cs="Arial"/>
          <w:b w:val="0"/>
          <w:color w:val="auto"/>
          <w:lang w:val="el-GR"/>
        </w:rPr>
        <w:t>7</w:t>
      </w:r>
      <w:r w:rsidR="00AD6EF5">
        <w:rPr>
          <w:rFonts w:asciiTheme="minorHAnsi" w:hAnsiTheme="minorHAnsi" w:cs="Arial"/>
          <w:b w:val="0"/>
          <w:color w:val="auto"/>
          <w:lang w:val="el-GR"/>
        </w:rPr>
        <w:t>37</w:t>
      </w:r>
      <w:r w:rsidR="008F54C4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οι ανειδίκευτοι εργάτες (</w:t>
      </w:r>
      <w:r w:rsidR="00706865">
        <w:rPr>
          <w:rFonts w:asciiTheme="minorHAnsi" w:hAnsiTheme="minorHAnsi" w:cs="Arial"/>
          <w:b w:val="0"/>
          <w:color w:val="auto"/>
          <w:lang w:val="el-GR"/>
        </w:rPr>
        <w:t>6</w:t>
      </w:r>
      <w:r w:rsidR="00AD6EF5">
        <w:rPr>
          <w:rFonts w:asciiTheme="minorHAnsi" w:hAnsiTheme="minorHAnsi" w:cs="Arial"/>
          <w:b w:val="0"/>
          <w:color w:val="auto"/>
          <w:lang w:val="el-GR"/>
        </w:rPr>
        <w:t>47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>,</w:t>
      </w:r>
      <w:r w:rsidR="00077E1E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="00BA3211" w:rsidRPr="00445650">
        <w:rPr>
          <w:rFonts w:asciiTheme="minorHAnsi" w:hAnsiTheme="minorHAnsi" w:cs="Arial"/>
          <w:b w:val="0"/>
          <w:color w:val="auto"/>
          <w:lang w:val="el-GR"/>
        </w:rPr>
        <w:t>απασχολούμενοι στην παροχή υπηρεσιών και πωλητές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AD6EF5">
        <w:rPr>
          <w:rFonts w:asciiTheme="minorHAnsi" w:hAnsiTheme="minorHAnsi" w:cs="Arial"/>
          <w:b w:val="0"/>
          <w:color w:val="auto"/>
          <w:lang w:val="el-GR"/>
        </w:rPr>
        <w:t>604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523DC1" w:rsidRPr="00445650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077E1E" w:rsidRPr="00445650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472C7D">
        <w:rPr>
          <w:rFonts w:asciiTheme="minorHAnsi" w:hAnsiTheme="minorHAnsi" w:cs="Arial"/>
          <w:b w:val="0"/>
          <w:color w:val="auto"/>
          <w:lang w:val="el-GR"/>
        </w:rPr>
        <w:t>5</w:t>
      </w:r>
      <w:r w:rsidR="00AD6EF5">
        <w:rPr>
          <w:rFonts w:asciiTheme="minorHAnsi" w:hAnsiTheme="minorHAnsi" w:cs="Arial"/>
          <w:b w:val="0"/>
          <w:color w:val="auto"/>
          <w:lang w:val="el-GR"/>
        </w:rPr>
        <w:t>04</w:t>
      </w:r>
      <w:r w:rsidR="004D55DE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28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B050C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445650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 στον τομέα των υπηρεσιών (</w:t>
      </w:r>
      <w:r w:rsidR="00C43FCE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61</w:t>
      </w:r>
      <w:r w:rsidR="001737AF"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0D0F99" w:rsidRPr="00445650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%). Ακολου</w:t>
      </w:r>
      <w:r w:rsidR="001737AF" w:rsidRPr="00445650">
        <w:rPr>
          <w:rFonts w:asciiTheme="minorHAnsi" w:hAnsiTheme="minorHAnsi" w:cs="Arial"/>
          <w:b w:val="0"/>
          <w:noProof/>
          <w:color w:val="auto"/>
          <w:lang w:val="el-GR"/>
        </w:rPr>
        <w:t>θούν οι τομείς του εμπορίου (</w:t>
      </w:r>
      <w:r w:rsidR="00C43FCE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86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20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A93B11">
        <w:rPr>
          <w:rFonts w:asciiTheme="minorHAnsi" w:hAnsiTheme="minorHAnsi" w:cs="Arial"/>
          <w:b w:val="0"/>
          <w:noProof/>
          <w:color w:val="auto"/>
          <w:lang w:val="el-GR"/>
        </w:rPr>
        <w:t xml:space="preserve"> και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νεοεισερχομένων (</w:t>
      </w:r>
      <w:r w:rsidR="00472C7D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04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ή 1</w:t>
      </w:r>
      <w:r w:rsidR="00A93B11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="00506AAB" w:rsidRPr="00445650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E27309" w:rsidRPr="00B050C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445650">
        <w:rPr>
          <w:rFonts w:asciiTheme="minorHAnsi" w:hAnsiTheme="minorHAnsi" w:cs="Arial"/>
          <w:color w:val="auto"/>
          <w:lang w:val="el-GR"/>
        </w:rPr>
        <w:t>Ελληνοκύπριοι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855F4B">
        <w:rPr>
          <w:rFonts w:asciiTheme="minorHAnsi" w:hAnsiTheme="minorHAnsi" w:cs="Arial"/>
          <w:b w:val="0"/>
          <w:color w:val="auto"/>
          <w:lang w:val="el-GR"/>
        </w:rPr>
        <w:t>2.8</w:t>
      </w:r>
      <w:r w:rsidR="009A1812">
        <w:rPr>
          <w:rFonts w:asciiTheme="minorHAnsi" w:hAnsiTheme="minorHAnsi" w:cs="Arial"/>
          <w:b w:val="0"/>
          <w:color w:val="auto"/>
          <w:lang w:val="el-GR"/>
        </w:rPr>
        <w:t>50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66F19" w:rsidRPr="00445650">
        <w:rPr>
          <w:rFonts w:asciiTheme="minorHAnsi" w:hAnsiTheme="minorHAnsi" w:cs="Arial"/>
          <w:b w:val="0"/>
          <w:color w:val="auto"/>
          <w:lang w:val="el-GR"/>
        </w:rPr>
        <w:t>8</w:t>
      </w:r>
      <w:r w:rsidR="00905A8D">
        <w:rPr>
          <w:rFonts w:asciiTheme="minorHAnsi" w:hAnsiTheme="minorHAnsi" w:cs="Arial"/>
          <w:b w:val="0"/>
          <w:color w:val="auto"/>
          <w:lang w:val="el-GR"/>
        </w:rPr>
        <w:t>3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44565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4965A6" w:rsidRPr="00445650">
        <w:rPr>
          <w:rFonts w:asciiTheme="minorHAnsi" w:hAnsiTheme="minorHAnsi" w:cs="Arial"/>
          <w:b w:val="0"/>
          <w:color w:val="auto"/>
          <w:lang w:val="el-GR"/>
        </w:rPr>
        <w:t>2</w:t>
      </w:r>
      <w:r w:rsidR="009A1812">
        <w:rPr>
          <w:rFonts w:asciiTheme="minorHAnsi" w:hAnsiTheme="minorHAnsi" w:cs="Arial"/>
          <w:b w:val="0"/>
          <w:color w:val="auto"/>
          <w:lang w:val="el-GR"/>
        </w:rPr>
        <w:t>12</w:t>
      </w:r>
      <w:r w:rsidR="00B2245D" w:rsidRPr="00445650">
        <w:rPr>
          <w:rFonts w:asciiTheme="minorHAnsi" w:hAnsiTheme="minorHAnsi" w:cs="Arial"/>
          <w:b w:val="0"/>
          <w:color w:val="auto"/>
          <w:lang w:val="el-GR"/>
        </w:rPr>
        <w:t xml:space="preserve"> ή 6%),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445650" w:rsidRPr="00445650">
        <w:rPr>
          <w:rFonts w:asciiTheme="minorHAnsi" w:hAnsiTheme="minorHAnsi" w:cs="Arial"/>
          <w:b w:val="0"/>
          <w:color w:val="auto"/>
          <w:lang w:val="el-GR"/>
        </w:rPr>
        <w:t>1</w:t>
      </w:r>
      <w:r w:rsidR="009A1812">
        <w:rPr>
          <w:rFonts w:asciiTheme="minorHAnsi" w:hAnsiTheme="minorHAnsi" w:cs="Arial"/>
          <w:b w:val="0"/>
          <w:color w:val="auto"/>
          <w:lang w:val="el-GR"/>
        </w:rPr>
        <w:t>48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A93B11">
        <w:rPr>
          <w:rFonts w:asciiTheme="minorHAnsi" w:hAnsiTheme="minorHAnsi" w:cs="Arial"/>
          <w:b w:val="0"/>
          <w:color w:val="auto"/>
          <w:lang w:val="el-GR"/>
        </w:rPr>
        <w:t>4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>%),</w:t>
      </w:r>
      <w:r w:rsidR="0014588A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0D0F99" w:rsidRPr="00445650">
        <w:rPr>
          <w:rFonts w:asciiTheme="minorHAnsi" w:hAnsiTheme="minorHAnsi" w:cs="Arial"/>
          <w:b w:val="0"/>
          <w:color w:val="auto"/>
          <w:lang w:val="el-GR"/>
        </w:rPr>
        <w:t>1</w:t>
      </w:r>
      <w:r w:rsidR="00855F4B">
        <w:rPr>
          <w:rFonts w:asciiTheme="minorHAnsi" w:hAnsiTheme="minorHAnsi" w:cs="Arial"/>
          <w:b w:val="0"/>
          <w:color w:val="auto"/>
          <w:lang w:val="el-GR"/>
        </w:rPr>
        <w:t>24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9C665A" w:rsidRPr="009C665A">
        <w:rPr>
          <w:rFonts w:asciiTheme="minorHAnsi" w:hAnsiTheme="minorHAnsi" w:cs="Arial"/>
          <w:b w:val="0"/>
          <w:color w:val="auto"/>
          <w:lang w:val="el-GR"/>
        </w:rPr>
        <w:t>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%) και οι Πόντιοι με ελληνικό διαβατήριο (με </w:t>
      </w:r>
      <w:r w:rsidR="00855F4B">
        <w:rPr>
          <w:rFonts w:asciiTheme="minorHAnsi" w:hAnsiTheme="minorHAnsi" w:cs="Arial"/>
          <w:b w:val="0"/>
          <w:color w:val="auto"/>
          <w:lang w:val="el-GR"/>
        </w:rPr>
        <w:t>7</w:t>
      </w:r>
      <w:r w:rsidR="009A1812">
        <w:rPr>
          <w:rFonts w:asciiTheme="minorHAnsi" w:hAnsiTheme="minorHAnsi" w:cs="Arial"/>
          <w:b w:val="0"/>
          <w:color w:val="auto"/>
          <w:lang w:val="el-GR"/>
        </w:rPr>
        <w:t>4</w:t>
      </w:r>
      <w:r w:rsidR="000D0F99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2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%) 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30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44565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905A8D">
        <w:rPr>
          <w:rFonts w:asciiTheme="minorHAnsi" w:hAnsiTheme="minorHAnsi" w:cs="Arial"/>
          <w:b w:val="0"/>
          <w:color w:val="auto"/>
          <w:lang w:val="el-GR"/>
        </w:rPr>
        <w:t>2</w:t>
      </w:r>
      <w:r w:rsidR="00CE604E">
        <w:rPr>
          <w:rFonts w:asciiTheme="minorHAnsi" w:hAnsiTheme="minorHAnsi" w:cs="Arial"/>
          <w:b w:val="0"/>
          <w:color w:val="auto"/>
          <w:lang w:val="el-GR"/>
        </w:rPr>
        <w:t>12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445650">
        <w:rPr>
          <w:rFonts w:asciiTheme="minorHAnsi" w:hAnsiTheme="minorHAnsi" w:cs="Arial"/>
          <w:b w:val="0"/>
          <w:color w:val="auto"/>
          <w:lang w:val="el-GR"/>
        </w:rPr>
        <w:t>οι περισσότεροι είναι Έλληνες (</w:t>
      </w:r>
      <w:r w:rsidR="00855F4B">
        <w:rPr>
          <w:rFonts w:asciiTheme="minorHAnsi" w:hAnsiTheme="minorHAnsi" w:cs="Arial"/>
          <w:b w:val="0"/>
          <w:color w:val="auto"/>
          <w:lang w:val="el-GR"/>
        </w:rPr>
        <w:t>6</w:t>
      </w:r>
      <w:r w:rsidR="00CE604E">
        <w:rPr>
          <w:rFonts w:asciiTheme="minorHAnsi" w:hAnsiTheme="minorHAnsi" w:cs="Arial"/>
          <w:b w:val="0"/>
          <w:color w:val="auto"/>
          <w:lang w:val="el-GR"/>
        </w:rPr>
        <w:t>5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00195F" w:rsidRPr="00445650">
        <w:rPr>
          <w:rFonts w:asciiTheme="minorHAnsi" w:hAnsiTheme="minorHAnsi" w:cs="Arial"/>
          <w:b w:val="0"/>
          <w:color w:val="auto"/>
          <w:lang w:val="el-GR"/>
        </w:rPr>
        <w:t>,</w:t>
      </w:r>
      <w:r w:rsidR="00E8041B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05A8D" w:rsidRPr="0044565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905A8D">
        <w:rPr>
          <w:rFonts w:asciiTheme="minorHAnsi" w:hAnsiTheme="minorHAnsi" w:cs="Arial"/>
          <w:b w:val="0"/>
          <w:color w:val="auto"/>
          <w:lang w:val="el-GR"/>
        </w:rPr>
        <w:t>3</w:t>
      </w:r>
      <w:r w:rsidR="00CE604E">
        <w:rPr>
          <w:rFonts w:asciiTheme="minorHAnsi" w:hAnsiTheme="minorHAnsi" w:cs="Arial"/>
          <w:b w:val="0"/>
          <w:color w:val="auto"/>
          <w:lang w:val="el-GR"/>
        </w:rPr>
        <w:t>7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905A8D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506AAB" w:rsidRPr="00445650">
        <w:rPr>
          <w:rFonts w:asciiTheme="minorHAnsi" w:hAnsiTheme="minorHAnsi" w:cs="Arial"/>
          <w:b w:val="0"/>
          <w:color w:val="auto"/>
          <w:lang w:val="el-GR"/>
        </w:rPr>
        <w:t>ή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8041B" w:rsidRPr="0044565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CE604E">
        <w:rPr>
          <w:rFonts w:asciiTheme="minorHAnsi" w:hAnsiTheme="minorHAnsi" w:cs="Arial"/>
          <w:b w:val="0"/>
          <w:color w:val="auto"/>
          <w:lang w:val="el-GR"/>
        </w:rPr>
        <w:t>32</w:t>
      </w:r>
      <w:r w:rsidR="00190734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9C665A" w:rsidRPr="009C665A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C665A">
        <w:rPr>
          <w:rFonts w:asciiTheme="minorHAnsi" w:hAnsiTheme="minorHAnsi" w:cs="Arial"/>
          <w:b w:val="0"/>
          <w:color w:val="auto"/>
          <w:lang w:val="el-GR"/>
        </w:rPr>
        <w:t xml:space="preserve">και 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>Βρετανοί (</w:t>
      </w:r>
      <w:r w:rsidR="00CE604E">
        <w:rPr>
          <w:rFonts w:asciiTheme="minorHAnsi" w:hAnsiTheme="minorHAnsi" w:cs="Arial"/>
          <w:b w:val="0"/>
          <w:color w:val="auto"/>
          <w:lang w:val="el-GR"/>
        </w:rPr>
        <w:t>34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A93B1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31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B565F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B565F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B565F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E411AE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CE604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CE604E">
        <w:rPr>
          <w:rFonts w:ascii="Calibri" w:eastAsia="MS Mincho" w:hAnsi="Calibri" w:cs="Arial"/>
          <w:bCs w:val="0"/>
          <w:color w:val="auto"/>
          <w:lang w:val="el-GR"/>
        </w:rPr>
        <w:t>Φεβρουάρ</w:t>
      </w:r>
      <w:r w:rsidR="00855F4B">
        <w:rPr>
          <w:rFonts w:ascii="Calibri" w:eastAsia="MS Mincho" w:hAnsi="Calibri" w:cs="Arial"/>
          <w:bCs w:val="0"/>
          <w:color w:val="auto"/>
          <w:lang w:val="el-GR"/>
        </w:rPr>
        <w:t>ιος</w:t>
      </w:r>
      <w:r w:rsidR="00036248" w:rsidRPr="00CE604E">
        <w:rPr>
          <w:rFonts w:ascii="Calibri" w:eastAsia="MS Mincho" w:hAnsi="Calibri" w:cs="Arial"/>
          <w:bCs w:val="0"/>
          <w:color w:val="auto"/>
        </w:rPr>
        <w:t xml:space="preserve"> 2019</w:t>
      </w: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04E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CE604E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CE604E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CE604E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CE604E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CE604E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0644D" w:rsidRPr="00CE604E" w:rsidRDefault="0070644D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266FB" w:rsidRPr="00CE604E" w:rsidRDefault="00A266F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855F4B" w:rsidRPr="00CE604E" w:rsidRDefault="00855F4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855F4B" w:rsidRPr="00CE604E" w:rsidRDefault="00855F4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CA31D1" w:rsidRPr="007872F5" w:rsidRDefault="00E27309" w:rsidP="00EA5178">
      <w:pPr>
        <w:spacing w:after="200" w:line="276" w:lineRule="auto"/>
        <w:rPr>
          <w:rFonts w:ascii="Calibri" w:hAnsi="Calibri" w:cs="Calibri"/>
          <w:color w:val="auto"/>
          <w:sz w:val="18"/>
          <w:szCs w:val="18"/>
          <w:u w:val="single"/>
        </w:rPr>
      </w:pPr>
      <w:proofErr w:type="spellStart"/>
      <w:r w:rsidRPr="00E411AE"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  <w:t>ΜΡη</w:t>
      </w:r>
      <w:proofErr w:type="spellEnd"/>
      <w:r w:rsidRPr="00E411A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t xml:space="preserve">, </w:t>
      </w:r>
      <w:r w:rsidR="00CE604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begin"/>
      </w:r>
      <w:r w:rsidR="00CE604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instrText xml:space="preserve"> FILENAME  \p  \* MERGEFORMAT </w:instrText>
      </w:r>
      <w:r w:rsidR="00CE604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separate"/>
      </w:r>
      <w:r w:rsidR="00CE604E">
        <w:rPr>
          <w:rFonts w:ascii="Calibri" w:eastAsia="MS Mincho" w:hAnsi="Calibri" w:cs="Arial"/>
          <w:b w:val="0"/>
          <w:bCs w:val="0"/>
          <w:noProof/>
          <w:color w:val="auto"/>
          <w:sz w:val="18"/>
          <w:szCs w:val="18"/>
        </w:rPr>
        <w:t>C:\Users\Administrator\M RIGOU\Ανεργία - Μηνιαίες Εκθέσεις\2020 registered unemployed - monthly\January 2020\Reports\ΚΕΦΑΛΑΙΟ Ι &amp; ΙΙ -January 2020.docx</w:t>
      </w:r>
      <w:r w:rsidR="00CE604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end"/>
      </w:r>
      <w:bookmarkStart w:id="0" w:name="_GoBack"/>
      <w:bookmarkEnd w:id="0"/>
    </w:p>
    <w:sectPr w:rsidR="00CA31D1" w:rsidRPr="007872F5" w:rsidSect="00850F67">
      <w:footerReference w:type="default" r:id="rId17"/>
      <w:pgSz w:w="11906" w:h="16838" w:code="9"/>
      <w:pgMar w:top="1135" w:right="1800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9" w:rsidRDefault="009C1769">
      <w:r>
        <w:separator/>
      </w:r>
    </w:p>
  </w:endnote>
  <w:endnote w:type="continuationSeparator" w:id="0">
    <w:p w:rsidR="009C1769" w:rsidRDefault="009C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04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9" w:rsidRDefault="009C1769">
      <w:r>
        <w:separator/>
      </w:r>
    </w:p>
  </w:footnote>
  <w:footnote w:type="continuationSeparator" w:id="0">
    <w:p w:rsidR="009C1769" w:rsidRDefault="009C1769">
      <w:r>
        <w:continuationSeparator/>
      </w:r>
    </w:p>
  </w:footnote>
  <w:footnote w:id="1">
    <w:p w:rsidR="0005381F" w:rsidRPr="00887DBA" w:rsidRDefault="0005381F" w:rsidP="0005381F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D764D9F"/>
    <w:multiLevelType w:val="hybridMultilevel"/>
    <w:tmpl w:val="0CB84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F800B9"/>
    <w:multiLevelType w:val="hybridMultilevel"/>
    <w:tmpl w:val="BFAA551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4F1A07"/>
    <w:multiLevelType w:val="hybridMultilevel"/>
    <w:tmpl w:val="49D27F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31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08F29A5"/>
    <w:multiLevelType w:val="hybridMultilevel"/>
    <w:tmpl w:val="272E85E6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16F0C85"/>
    <w:multiLevelType w:val="hybridMultilevel"/>
    <w:tmpl w:val="EB3284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4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33"/>
  </w:num>
  <w:num w:numId="5">
    <w:abstractNumId w:val="11"/>
  </w:num>
  <w:num w:numId="6">
    <w:abstractNumId w:val="32"/>
  </w:num>
  <w:num w:numId="7">
    <w:abstractNumId w:val="41"/>
  </w:num>
  <w:num w:numId="8">
    <w:abstractNumId w:val="36"/>
  </w:num>
  <w:num w:numId="9">
    <w:abstractNumId w:val="22"/>
  </w:num>
  <w:num w:numId="10">
    <w:abstractNumId w:val="18"/>
  </w:num>
  <w:num w:numId="11">
    <w:abstractNumId w:val="13"/>
  </w:num>
  <w:num w:numId="12">
    <w:abstractNumId w:val="29"/>
  </w:num>
  <w:num w:numId="13">
    <w:abstractNumId w:val="40"/>
  </w:num>
  <w:num w:numId="14">
    <w:abstractNumId w:val="44"/>
  </w:num>
  <w:num w:numId="15">
    <w:abstractNumId w:val="37"/>
  </w:num>
  <w:num w:numId="16">
    <w:abstractNumId w:val="38"/>
  </w:num>
  <w:num w:numId="17">
    <w:abstractNumId w:val="34"/>
  </w:num>
  <w:num w:numId="18">
    <w:abstractNumId w:val="26"/>
  </w:num>
  <w:num w:numId="19">
    <w:abstractNumId w:val="15"/>
  </w:num>
  <w:num w:numId="20">
    <w:abstractNumId w:val="24"/>
  </w:num>
  <w:num w:numId="21">
    <w:abstractNumId w:val="16"/>
  </w:num>
  <w:num w:numId="22">
    <w:abstractNumId w:val="12"/>
  </w:num>
  <w:num w:numId="23">
    <w:abstractNumId w:val="31"/>
  </w:num>
  <w:num w:numId="24">
    <w:abstractNumId w:val="21"/>
  </w:num>
  <w:num w:numId="25">
    <w:abstractNumId w:val="42"/>
  </w:num>
  <w:num w:numId="26">
    <w:abstractNumId w:val="14"/>
  </w:num>
  <w:num w:numId="27">
    <w:abstractNumId w:val="43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20"/>
  </w:num>
  <w:num w:numId="41">
    <w:abstractNumId w:val="39"/>
  </w:num>
  <w:num w:numId="42">
    <w:abstractNumId w:val="23"/>
  </w:num>
  <w:num w:numId="43">
    <w:abstractNumId w:val="45"/>
  </w:num>
  <w:num w:numId="44">
    <w:abstractNumId w:val="35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5DB"/>
    <w:rsid w:val="0000195F"/>
    <w:rsid w:val="00002136"/>
    <w:rsid w:val="00002B46"/>
    <w:rsid w:val="0000322F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51A"/>
    <w:rsid w:val="00017961"/>
    <w:rsid w:val="00020227"/>
    <w:rsid w:val="000203D1"/>
    <w:rsid w:val="00020505"/>
    <w:rsid w:val="000217F6"/>
    <w:rsid w:val="000218C2"/>
    <w:rsid w:val="00021C0C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F98"/>
    <w:rsid w:val="000263CD"/>
    <w:rsid w:val="000278DE"/>
    <w:rsid w:val="00030A73"/>
    <w:rsid w:val="00030C63"/>
    <w:rsid w:val="00030F6E"/>
    <w:rsid w:val="00031743"/>
    <w:rsid w:val="00031900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60C8"/>
    <w:rsid w:val="0005612F"/>
    <w:rsid w:val="000567C6"/>
    <w:rsid w:val="000574CE"/>
    <w:rsid w:val="000578CE"/>
    <w:rsid w:val="0005792D"/>
    <w:rsid w:val="000603FD"/>
    <w:rsid w:val="0006070F"/>
    <w:rsid w:val="0006109F"/>
    <w:rsid w:val="00061E5D"/>
    <w:rsid w:val="000629AF"/>
    <w:rsid w:val="00062D35"/>
    <w:rsid w:val="00062DAE"/>
    <w:rsid w:val="0006343C"/>
    <w:rsid w:val="000636D3"/>
    <w:rsid w:val="0006370F"/>
    <w:rsid w:val="0006392C"/>
    <w:rsid w:val="00063AA3"/>
    <w:rsid w:val="00063F67"/>
    <w:rsid w:val="00064E1A"/>
    <w:rsid w:val="000651A0"/>
    <w:rsid w:val="00065604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52C"/>
    <w:rsid w:val="000774CB"/>
    <w:rsid w:val="0007755D"/>
    <w:rsid w:val="000777D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D65"/>
    <w:rsid w:val="00081EBA"/>
    <w:rsid w:val="00082AF4"/>
    <w:rsid w:val="00082C56"/>
    <w:rsid w:val="00083079"/>
    <w:rsid w:val="00083252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916"/>
    <w:rsid w:val="000E33AA"/>
    <w:rsid w:val="000E3B2C"/>
    <w:rsid w:val="000E412C"/>
    <w:rsid w:val="000E4726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15DE"/>
    <w:rsid w:val="000F2BD1"/>
    <w:rsid w:val="000F3F9F"/>
    <w:rsid w:val="000F44AC"/>
    <w:rsid w:val="000F4D85"/>
    <w:rsid w:val="000F4E37"/>
    <w:rsid w:val="000F5362"/>
    <w:rsid w:val="000F5AE3"/>
    <w:rsid w:val="000F62C7"/>
    <w:rsid w:val="000F6B14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636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459E"/>
    <w:rsid w:val="00124782"/>
    <w:rsid w:val="0012487B"/>
    <w:rsid w:val="00124D41"/>
    <w:rsid w:val="00125F54"/>
    <w:rsid w:val="0012702D"/>
    <w:rsid w:val="00127907"/>
    <w:rsid w:val="00127E2F"/>
    <w:rsid w:val="001308DD"/>
    <w:rsid w:val="00130AB3"/>
    <w:rsid w:val="00133A83"/>
    <w:rsid w:val="00134044"/>
    <w:rsid w:val="00134539"/>
    <w:rsid w:val="00134EFA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D21"/>
    <w:rsid w:val="00151D54"/>
    <w:rsid w:val="00151FBA"/>
    <w:rsid w:val="00152DC3"/>
    <w:rsid w:val="00153082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F51"/>
    <w:rsid w:val="0016101C"/>
    <w:rsid w:val="0016125A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909"/>
    <w:rsid w:val="00170E92"/>
    <w:rsid w:val="0017214E"/>
    <w:rsid w:val="001726D7"/>
    <w:rsid w:val="00172AAD"/>
    <w:rsid w:val="00172ECE"/>
    <w:rsid w:val="00173334"/>
    <w:rsid w:val="001737AF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414"/>
    <w:rsid w:val="001A3611"/>
    <w:rsid w:val="001A3BF8"/>
    <w:rsid w:val="001A5CCF"/>
    <w:rsid w:val="001A5ECC"/>
    <w:rsid w:val="001A69F5"/>
    <w:rsid w:val="001A76BF"/>
    <w:rsid w:val="001A7727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BF2"/>
    <w:rsid w:val="001E4C34"/>
    <w:rsid w:val="001E4F21"/>
    <w:rsid w:val="001E58AF"/>
    <w:rsid w:val="001E5924"/>
    <w:rsid w:val="001E630F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70C8"/>
    <w:rsid w:val="00217453"/>
    <w:rsid w:val="002177E3"/>
    <w:rsid w:val="002178B9"/>
    <w:rsid w:val="00217DA4"/>
    <w:rsid w:val="00220813"/>
    <w:rsid w:val="00221A16"/>
    <w:rsid w:val="00222038"/>
    <w:rsid w:val="0022268A"/>
    <w:rsid w:val="002226C5"/>
    <w:rsid w:val="002232F7"/>
    <w:rsid w:val="00223616"/>
    <w:rsid w:val="00224394"/>
    <w:rsid w:val="00225ADB"/>
    <w:rsid w:val="0022648B"/>
    <w:rsid w:val="00226772"/>
    <w:rsid w:val="00227C6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CEA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2573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835"/>
    <w:rsid w:val="002631A5"/>
    <w:rsid w:val="00263B3A"/>
    <w:rsid w:val="002657F4"/>
    <w:rsid w:val="00265C57"/>
    <w:rsid w:val="00266527"/>
    <w:rsid w:val="00266574"/>
    <w:rsid w:val="00266624"/>
    <w:rsid w:val="00266859"/>
    <w:rsid w:val="00266B6F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806DD"/>
    <w:rsid w:val="00280A3B"/>
    <w:rsid w:val="00280E23"/>
    <w:rsid w:val="002811FF"/>
    <w:rsid w:val="00281597"/>
    <w:rsid w:val="00281866"/>
    <w:rsid w:val="00281AB5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55CF"/>
    <w:rsid w:val="002958C7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CE3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BB7"/>
    <w:rsid w:val="002B2F1A"/>
    <w:rsid w:val="002B3260"/>
    <w:rsid w:val="002B45D5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3DD"/>
    <w:rsid w:val="002C111E"/>
    <w:rsid w:val="002C117A"/>
    <w:rsid w:val="002C27F0"/>
    <w:rsid w:val="002C299C"/>
    <w:rsid w:val="002C2CAB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13CA"/>
    <w:rsid w:val="002D17AB"/>
    <w:rsid w:val="002D1A84"/>
    <w:rsid w:val="002D2A73"/>
    <w:rsid w:val="002D2D41"/>
    <w:rsid w:val="002D3A4E"/>
    <w:rsid w:val="002D3B8E"/>
    <w:rsid w:val="002D3E41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4673"/>
    <w:rsid w:val="002E58F2"/>
    <w:rsid w:val="002E5A6F"/>
    <w:rsid w:val="002E65F1"/>
    <w:rsid w:val="002E68EB"/>
    <w:rsid w:val="002E767F"/>
    <w:rsid w:val="002E7A95"/>
    <w:rsid w:val="002E7F2B"/>
    <w:rsid w:val="002F00DE"/>
    <w:rsid w:val="002F17C6"/>
    <w:rsid w:val="002F2522"/>
    <w:rsid w:val="002F2FC5"/>
    <w:rsid w:val="002F30CE"/>
    <w:rsid w:val="002F34D4"/>
    <w:rsid w:val="002F3660"/>
    <w:rsid w:val="002F369F"/>
    <w:rsid w:val="002F3E7E"/>
    <w:rsid w:val="002F463B"/>
    <w:rsid w:val="002F5F46"/>
    <w:rsid w:val="002F63E5"/>
    <w:rsid w:val="002F6402"/>
    <w:rsid w:val="002F6517"/>
    <w:rsid w:val="002F6824"/>
    <w:rsid w:val="002F68E9"/>
    <w:rsid w:val="002F6A17"/>
    <w:rsid w:val="002F6B3D"/>
    <w:rsid w:val="003011F5"/>
    <w:rsid w:val="003016B4"/>
    <w:rsid w:val="0030194A"/>
    <w:rsid w:val="003023D6"/>
    <w:rsid w:val="00302587"/>
    <w:rsid w:val="00302A6F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F3"/>
    <w:rsid w:val="00307B22"/>
    <w:rsid w:val="00310016"/>
    <w:rsid w:val="0031015E"/>
    <w:rsid w:val="003106D8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30247"/>
    <w:rsid w:val="0033070B"/>
    <w:rsid w:val="003309EC"/>
    <w:rsid w:val="00330FEB"/>
    <w:rsid w:val="003312B2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534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F10"/>
    <w:rsid w:val="0036110B"/>
    <w:rsid w:val="003614CA"/>
    <w:rsid w:val="00361680"/>
    <w:rsid w:val="00361C24"/>
    <w:rsid w:val="00362179"/>
    <w:rsid w:val="003621B9"/>
    <w:rsid w:val="00362A1E"/>
    <w:rsid w:val="00363247"/>
    <w:rsid w:val="00363733"/>
    <w:rsid w:val="003643B6"/>
    <w:rsid w:val="003644BF"/>
    <w:rsid w:val="00365304"/>
    <w:rsid w:val="00365438"/>
    <w:rsid w:val="00365931"/>
    <w:rsid w:val="00366610"/>
    <w:rsid w:val="0036711F"/>
    <w:rsid w:val="00367485"/>
    <w:rsid w:val="00367CDF"/>
    <w:rsid w:val="00367F73"/>
    <w:rsid w:val="00370144"/>
    <w:rsid w:val="00370D0E"/>
    <w:rsid w:val="00370E2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C67"/>
    <w:rsid w:val="00375776"/>
    <w:rsid w:val="00376052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504A"/>
    <w:rsid w:val="003C5125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255"/>
    <w:rsid w:val="003D02C1"/>
    <w:rsid w:val="003D0499"/>
    <w:rsid w:val="003D1813"/>
    <w:rsid w:val="003D25C3"/>
    <w:rsid w:val="003D37F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18FF"/>
    <w:rsid w:val="003E22AD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24E1"/>
    <w:rsid w:val="003F265E"/>
    <w:rsid w:val="003F3263"/>
    <w:rsid w:val="003F3308"/>
    <w:rsid w:val="003F3483"/>
    <w:rsid w:val="003F3A7E"/>
    <w:rsid w:val="003F4A55"/>
    <w:rsid w:val="003F5330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17A11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A7"/>
    <w:rsid w:val="004225DE"/>
    <w:rsid w:val="004231F9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86A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650"/>
    <w:rsid w:val="00445864"/>
    <w:rsid w:val="00446A8F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2303"/>
    <w:rsid w:val="00492CC5"/>
    <w:rsid w:val="00493B8F"/>
    <w:rsid w:val="0049407B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63AD"/>
    <w:rsid w:val="004A6794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53DD"/>
    <w:rsid w:val="004C6149"/>
    <w:rsid w:val="004C6A56"/>
    <w:rsid w:val="004C6C54"/>
    <w:rsid w:val="004C7152"/>
    <w:rsid w:val="004C7808"/>
    <w:rsid w:val="004C7AEB"/>
    <w:rsid w:val="004C7DD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C58"/>
    <w:rsid w:val="004F2434"/>
    <w:rsid w:val="004F4351"/>
    <w:rsid w:val="004F49E6"/>
    <w:rsid w:val="004F4D8C"/>
    <w:rsid w:val="004F5193"/>
    <w:rsid w:val="004F548D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209"/>
    <w:rsid w:val="005046D0"/>
    <w:rsid w:val="00504907"/>
    <w:rsid w:val="005054E3"/>
    <w:rsid w:val="0050586C"/>
    <w:rsid w:val="00505AEC"/>
    <w:rsid w:val="00506AAB"/>
    <w:rsid w:val="00506D5A"/>
    <w:rsid w:val="00507306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ECE"/>
    <w:rsid w:val="00546B9B"/>
    <w:rsid w:val="00546DD8"/>
    <w:rsid w:val="00546F2A"/>
    <w:rsid w:val="00546FD2"/>
    <w:rsid w:val="0054775E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6CB"/>
    <w:rsid w:val="00591CB9"/>
    <w:rsid w:val="00591F63"/>
    <w:rsid w:val="0059256F"/>
    <w:rsid w:val="0059372B"/>
    <w:rsid w:val="00593885"/>
    <w:rsid w:val="00593A84"/>
    <w:rsid w:val="005942BA"/>
    <w:rsid w:val="00595851"/>
    <w:rsid w:val="00596728"/>
    <w:rsid w:val="005969C4"/>
    <w:rsid w:val="00596B87"/>
    <w:rsid w:val="005973C0"/>
    <w:rsid w:val="00597F8F"/>
    <w:rsid w:val="005A041D"/>
    <w:rsid w:val="005A0D35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7220"/>
    <w:rsid w:val="005B0E47"/>
    <w:rsid w:val="005B1315"/>
    <w:rsid w:val="005B1CFF"/>
    <w:rsid w:val="005B2204"/>
    <w:rsid w:val="005B2390"/>
    <w:rsid w:val="005B35A1"/>
    <w:rsid w:val="005B35D1"/>
    <w:rsid w:val="005B3A7B"/>
    <w:rsid w:val="005B4B36"/>
    <w:rsid w:val="005B4EEC"/>
    <w:rsid w:val="005B4F24"/>
    <w:rsid w:val="005B57F7"/>
    <w:rsid w:val="005B5B8D"/>
    <w:rsid w:val="005B5ED4"/>
    <w:rsid w:val="005B6F11"/>
    <w:rsid w:val="005B7368"/>
    <w:rsid w:val="005C00C6"/>
    <w:rsid w:val="005C0EEF"/>
    <w:rsid w:val="005C109F"/>
    <w:rsid w:val="005C1277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F76"/>
    <w:rsid w:val="005F3A4F"/>
    <w:rsid w:val="005F3D56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2643"/>
    <w:rsid w:val="00602CE7"/>
    <w:rsid w:val="00603E6B"/>
    <w:rsid w:val="00603FBA"/>
    <w:rsid w:val="00604BC3"/>
    <w:rsid w:val="00605659"/>
    <w:rsid w:val="00605C18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DFE"/>
    <w:rsid w:val="00630EBB"/>
    <w:rsid w:val="006317F0"/>
    <w:rsid w:val="0063262E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E87"/>
    <w:rsid w:val="00652D02"/>
    <w:rsid w:val="00653064"/>
    <w:rsid w:val="00653268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813"/>
    <w:rsid w:val="00673ADE"/>
    <w:rsid w:val="00673FC1"/>
    <w:rsid w:val="0067480F"/>
    <w:rsid w:val="00674E25"/>
    <w:rsid w:val="00675F31"/>
    <w:rsid w:val="00676151"/>
    <w:rsid w:val="0067663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A90"/>
    <w:rsid w:val="00686EF5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40D"/>
    <w:rsid w:val="006A1515"/>
    <w:rsid w:val="006A173F"/>
    <w:rsid w:val="006A177F"/>
    <w:rsid w:val="006A1A12"/>
    <w:rsid w:val="006A27A6"/>
    <w:rsid w:val="006A2F1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317"/>
    <w:rsid w:val="006B253A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BF1"/>
    <w:rsid w:val="006C012E"/>
    <w:rsid w:val="006C0844"/>
    <w:rsid w:val="006C2A5B"/>
    <w:rsid w:val="006C3012"/>
    <w:rsid w:val="006C3B84"/>
    <w:rsid w:val="006C4187"/>
    <w:rsid w:val="006C5264"/>
    <w:rsid w:val="006C5780"/>
    <w:rsid w:val="006C5A63"/>
    <w:rsid w:val="006C5B45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11A1"/>
    <w:rsid w:val="006D168D"/>
    <w:rsid w:val="006D18CE"/>
    <w:rsid w:val="006D22CB"/>
    <w:rsid w:val="006D362D"/>
    <w:rsid w:val="006D3FE6"/>
    <w:rsid w:val="006D540C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7D1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B74"/>
    <w:rsid w:val="007B41AB"/>
    <w:rsid w:val="007B4242"/>
    <w:rsid w:val="007B461C"/>
    <w:rsid w:val="007B4DCB"/>
    <w:rsid w:val="007B4F7A"/>
    <w:rsid w:val="007B5754"/>
    <w:rsid w:val="007B6035"/>
    <w:rsid w:val="007B69BB"/>
    <w:rsid w:val="007B6BEE"/>
    <w:rsid w:val="007B70EA"/>
    <w:rsid w:val="007B7172"/>
    <w:rsid w:val="007C07C2"/>
    <w:rsid w:val="007C0B44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EAF"/>
    <w:rsid w:val="007F06FA"/>
    <w:rsid w:val="007F0BEC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33D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611E"/>
    <w:rsid w:val="00836480"/>
    <w:rsid w:val="00836793"/>
    <w:rsid w:val="00836A86"/>
    <w:rsid w:val="008372C8"/>
    <w:rsid w:val="0083756E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53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9FA"/>
    <w:rsid w:val="00867A73"/>
    <w:rsid w:val="00871CB7"/>
    <w:rsid w:val="00872039"/>
    <w:rsid w:val="00872261"/>
    <w:rsid w:val="00872BCD"/>
    <w:rsid w:val="00873643"/>
    <w:rsid w:val="00873C1D"/>
    <w:rsid w:val="00873DBD"/>
    <w:rsid w:val="00874485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1C4"/>
    <w:rsid w:val="008853D1"/>
    <w:rsid w:val="008854DB"/>
    <w:rsid w:val="00886200"/>
    <w:rsid w:val="008864EE"/>
    <w:rsid w:val="008865CE"/>
    <w:rsid w:val="00886635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CC8"/>
    <w:rsid w:val="008A47DB"/>
    <w:rsid w:val="008A5158"/>
    <w:rsid w:val="008A52C9"/>
    <w:rsid w:val="008A5CAB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2C84"/>
    <w:rsid w:val="008C3096"/>
    <w:rsid w:val="008C36C8"/>
    <w:rsid w:val="008C47DE"/>
    <w:rsid w:val="008C52BF"/>
    <w:rsid w:val="008C56A6"/>
    <w:rsid w:val="008C5D9D"/>
    <w:rsid w:val="008C5EBC"/>
    <w:rsid w:val="008C68C2"/>
    <w:rsid w:val="008C70E9"/>
    <w:rsid w:val="008C712D"/>
    <w:rsid w:val="008C73B5"/>
    <w:rsid w:val="008C7B40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3D3C"/>
    <w:rsid w:val="008E447F"/>
    <w:rsid w:val="008E4890"/>
    <w:rsid w:val="008E582D"/>
    <w:rsid w:val="008E5DBC"/>
    <w:rsid w:val="008E6D19"/>
    <w:rsid w:val="008E6D77"/>
    <w:rsid w:val="008E7917"/>
    <w:rsid w:val="008E7B0E"/>
    <w:rsid w:val="008E7C74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FD0"/>
    <w:rsid w:val="008F637A"/>
    <w:rsid w:val="008F644A"/>
    <w:rsid w:val="008F68CD"/>
    <w:rsid w:val="008F749E"/>
    <w:rsid w:val="008F75FA"/>
    <w:rsid w:val="008F7757"/>
    <w:rsid w:val="008F7DFA"/>
    <w:rsid w:val="00900697"/>
    <w:rsid w:val="00900DFD"/>
    <w:rsid w:val="00901125"/>
    <w:rsid w:val="00901172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9B"/>
    <w:rsid w:val="009331D1"/>
    <w:rsid w:val="00933FDE"/>
    <w:rsid w:val="00934A26"/>
    <w:rsid w:val="00935086"/>
    <w:rsid w:val="009352CF"/>
    <w:rsid w:val="00935786"/>
    <w:rsid w:val="009362C4"/>
    <w:rsid w:val="0093696A"/>
    <w:rsid w:val="00936E8C"/>
    <w:rsid w:val="009377E2"/>
    <w:rsid w:val="00937DF1"/>
    <w:rsid w:val="00941540"/>
    <w:rsid w:val="009417D8"/>
    <w:rsid w:val="009420AE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E30"/>
    <w:rsid w:val="009668CF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CB1"/>
    <w:rsid w:val="00972169"/>
    <w:rsid w:val="0097216D"/>
    <w:rsid w:val="00972C4E"/>
    <w:rsid w:val="00972F47"/>
    <w:rsid w:val="00973971"/>
    <w:rsid w:val="00973A16"/>
    <w:rsid w:val="0097479B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9035F"/>
    <w:rsid w:val="00990AA8"/>
    <w:rsid w:val="00991537"/>
    <w:rsid w:val="00991B3F"/>
    <w:rsid w:val="00991D28"/>
    <w:rsid w:val="009924AA"/>
    <w:rsid w:val="009927FB"/>
    <w:rsid w:val="009945E7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1812"/>
    <w:rsid w:val="009A2CFA"/>
    <w:rsid w:val="009A2D62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980"/>
    <w:rsid w:val="009C0767"/>
    <w:rsid w:val="009C1769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D04"/>
    <w:rsid w:val="00A03E79"/>
    <w:rsid w:val="00A04105"/>
    <w:rsid w:val="00A04535"/>
    <w:rsid w:val="00A054FB"/>
    <w:rsid w:val="00A05691"/>
    <w:rsid w:val="00A05CEA"/>
    <w:rsid w:val="00A05FA8"/>
    <w:rsid w:val="00A070E0"/>
    <w:rsid w:val="00A073EE"/>
    <w:rsid w:val="00A07493"/>
    <w:rsid w:val="00A074A2"/>
    <w:rsid w:val="00A0767C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DED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1638"/>
    <w:rsid w:val="00A4193E"/>
    <w:rsid w:val="00A42381"/>
    <w:rsid w:val="00A42470"/>
    <w:rsid w:val="00A427A9"/>
    <w:rsid w:val="00A42FD4"/>
    <w:rsid w:val="00A4364F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525"/>
    <w:rsid w:val="00A657D4"/>
    <w:rsid w:val="00A65A2B"/>
    <w:rsid w:val="00A65F59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8026D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824"/>
    <w:rsid w:val="00AA4235"/>
    <w:rsid w:val="00AA4D9D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AC"/>
    <w:rsid w:val="00AB7327"/>
    <w:rsid w:val="00AB760A"/>
    <w:rsid w:val="00AB7A1A"/>
    <w:rsid w:val="00AC06B8"/>
    <w:rsid w:val="00AC07B3"/>
    <w:rsid w:val="00AC12E0"/>
    <w:rsid w:val="00AC1708"/>
    <w:rsid w:val="00AC2589"/>
    <w:rsid w:val="00AC3813"/>
    <w:rsid w:val="00AC45FA"/>
    <w:rsid w:val="00AC4A24"/>
    <w:rsid w:val="00AC5E26"/>
    <w:rsid w:val="00AC667D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29CA"/>
    <w:rsid w:val="00AE33D3"/>
    <w:rsid w:val="00AE402C"/>
    <w:rsid w:val="00AE4679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203C"/>
    <w:rsid w:val="00AF2587"/>
    <w:rsid w:val="00AF31D1"/>
    <w:rsid w:val="00AF3F69"/>
    <w:rsid w:val="00AF4383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10BB9"/>
    <w:rsid w:val="00B10C1E"/>
    <w:rsid w:val="00B10D11"/>
    <w:rsid w:val="00B1192B"/>
    <w:rsid w:val="00B12207"/>
    <w:rsid w:val="00B1224A"/>
    <w:rsid w:val="00B12641"/>
    <w:rsid w:val="00B130CF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80E"/>
    <w:rsid w:val="00B2190C"/>
    <w:rsid w:val="00B2245D"/>
    <w:rsid w:val="00B225B7"/>
    <w:rsid w:val="00B22C46"/>
    <w:rsid w:val="00B23037"/>
    <w:rsid w:val="00B242B0"/>
    <w:rsid w:val="00B244D5"/>
    <w:rsid w:val="00B24D0A"/>
    <w:rsid w:val="00B25344"/>
    <w:rsid w:val="00B25982"/>
    <w:rsid w:val="00B26548"/>
    <w:rsid w:val="00B26B60"/>
    <w:rsid w:val="00B27AF9"/>
    <w:rsid w:val="00B27F2E"/>
    <w:rsid w:val="00B30504"/>
    <w:rsid w:val="00B30B33"/>
    <w:rsid w:val="00B3149A"/>
    <w:rsid w:val="00B319DF"/>
    <w:rsid w:val="00B31A42"/>
    <w:rsid w:val="00B3210C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AB0"/>
    <w:rsid w:val="00B40B94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F87"/>
    <w:rsid w:val="00B46BA5"/>
    <w:rsid w:val="00B5071C"/>
    <w:rsid w:val="00B50D81"/>
    <w:rsid w:val="00B50DEB"/>
    <w:rsid w:val="00B510B3"/>
    <w:rsid w:val="00B51DFC"/>
    <w:rsid w:val="00B51FDB"/>
    <w:rsid w:val="00B52754"/>
    <w:rsid w:val="00B53C38"/>
    <w:rsid w:val="00B53ECC"/>
    <w:rsid w:val="00B540D6"/>
    <w:rsid w:val="00B54D40"/>
    <w:rsid w:val="00B54F42"/>
    <w:rsid w:val="00B55402"/>
    <w:rsid w:val="00B560B6"/>
    <w:rsid w:val="00B5650D"/>
    <w:rsid w:val="00B565F2"/>
    <w:rsid w:val="00B5771B"/>
    <w:rsid w:val="00B57CB4"/>
    <w:rsid w:val="00B57CEB"/>
    <w:rsid w:val="00B6029E"/>
    <w:rsid w:val="00B60ADD"/>
    <w:rsid w:val="00B6110B"/>
    <w:rsid w:val="00B61636"/>
    <w:rsid w:val="00B62CC9"/>
    <w:rsid w:val="00B62E20"/>
    <w:rsid w:val="00B632F6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AED"/>
    <w:rsid w:val="00B73B9C"/>
    <w:rsid w:val="00B74BAC"/>
    <w:rsid w:val="00B7547E"/>
    <w:rsid w:val="00B75C3C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9046C"/>
    <w:rsid w:val="00B90EEC"/>
    <w:rsid w:val="00B91C83"/>
    <w:rsid w:val="00B91D9D"/>
    <w:rsid w:val="00B91E81"/>
    <w:rsid w:val="00B922C6"/>
    <w:rsid w:val="00B92EA0"/>
    <w:rsid w:val="00B9324A"/>
    <w:rsid w:val="00B932DD"/>
    <w:rsid w:val="00B93425"/>
    <w:rsid w:val="00B93679"/>
    <w:rsid w:val="00B9369D"/>
    <w:rsid w:val="00B940A5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2EAE"/>
    <w:rsid w:val="00BB353E"/>
    <w:rsid w:val="00BB36FF"/>
    <w:rsid w:val="00BB4A25"/>
    <w:rsid w:val="00BB5410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7252"/>
    <w:rsid w:val="00BC73CE"/>
    <w:rsid w:val="00BD06A6"/>
    <w:rsid w:val="00BD0785"/>
    <w:rsid w:val="00BD0F6E"/>
    <w:rsid w:val="00BD2FCF"/>
    <w:rsid w:val="00BD373A"/>
    <w:rsid w:val="00BD46D6"/>
    <w:rsid w:val="00BD490E"/>
    <w:rsid w:val="00BD529F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EB"/>
    <w:rsid w:val="00BF7973"/>
    <w:rsid w:val="00BF7BB0"/>
    <w:rsid w:val="00C00084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5478"/>
    <w:rsid w:val="00C057BE"/>
    <w:rsid w:val="00C05B14"/>
    <w:rsid w:val="00C06147"/>
    <w:rsid w:val="00C0646A"/>
    <w:rsid w:val="00C0691B"/>
    <w:rsid w:val="00C07945"/>
    <w:rsid w:val="00C079E0"/>
    <w:rsid w:val="00C10259"/>
    <w:rsid w:val="00C10E4A"/>
    <w:rsid w:val="00C1140A"/>
    <w:rsid w:val="00C1195B"/>
    <w:rsid w:val="00C122DA"/>
    <w:rsid w:val="00C1234F"/>
    <w:rsid w:val="00C12BA8"/>
    <w:rsid w:val="00C132BC"/>
    <w:rsid w:val="00C14049"/>
    <w:rsid w:val="00C14FB7"/>
    <w:rsid w:val="00C15170"/>
    <w:rsid w:val="00C15942"/>
    <w:rsid w:val="00C15F39"/>
    <w:rsid w:val="00C1605F"/>
    <w:rsid w:val="00C16A99"/>
    <w:rsid w:val="00C16DED"/>
    <w:rsid w:val="00C17027"/>
    <w:rsid w:val="00C174F0"/>
    <w:rsid w:val="00C178F3"/>
    <w:rsid w:val="00C17C38"/>
    <w:rsid w:val="00C21349"/>
    <w:rsid w:val="00C216C3"/>
    <w:rsid w:val="00C21FF5"/>
    <w:rsid w:val="00C221C6"/>
    <w:rsid w:val="00C22294"/>
    <w:rsid w:val="00C22611"/>
    <w:rsid w:val="00C22D6B"/>
    <w:rsid w:val="00C23020"/>
    <w:rsid w:val="00C23CBC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30E4"/>
    <w:rsid w:val="00C64246"/>
    <w:rsid w:val="00C64A81"/>
    <w:rsid w:val="00C64A9C"/>
    <w:rsid w:val="00C64F84"/>
    <w:rsid w:val="00C651BC"/>
    <w:rsid w:val="00C65632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9C8"/>
    <w:rsid w:val="00C82E18"/>
    <w:rsid w:val="00C82F4C"/>
    <w:rsid w:val="00C83774"/>
    <w:rsid w:val="00C84081"/>
    <w:rsid w:val="00C85295"/>
    <w:rsid w:val="00C856A4"/>
    <w:rsid w:val="00C85905"/>
    <w:rsid w:val="00C85958"/>
    <w:rsid w:val="00C85ADB"/>
    <w:rsid w:val="00C86629"/>
    <w:rsid w:val="00C86851"/>
    <w:rsid w:val="00C86CF8"/>
    <w:rsid w:val="00C87075"/>
    <w:rsid w:val="00C87F54"/>
    <w:rsid w:val="00C9079F"/>
    <w:rsid w:val="00C90D82"/>
    <w:rsid w:val="00C9148C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272B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72A8"/>
    <w:rsid w:val="00CB75BD"/>
    <w:rsid w:val="00CC0D45"/>
    <w:rsid w:val="00CC14B7"/>
    <w:rsid w:val="00CC2664"/>
    <w:rsid w:val="00CC33A2"/>
    <w:rsid w:val="00CC4132"/>
    <w:rsid w:val="00CC4FBF"/>
    <w:rsid w:val="00CC5596"/>
    <w:rsid w:val="00CC67AE"/>
    <w:rsid w:val="00CD0529"/>
    <w:rsid w:val="00CD0925"/>
    <w:rsid w:val="00CD19FD"/>
    <w:rsid w:val="00CD1ECF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2347"/>
    <w:rsid w:val="00CF2E77"/>
    <w:rsid w:val="00CF37BE"/>
    <w:rsid w:val="00CF3818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A08"/>
    <w:rsid w:val="00D03FAA"/>
    <w:rsid w:val="00D04E9F"/>
    <w:rsid w:val="00D059F9"/>
    <w:rsid w:val="00D05A1F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619"/>
    <w:rsid w:val="00D1511E"/>
    <w:rsid w:val="00D1582D"/>
    <w:rsid w:val="00D15EF5"/>
    <w:rsid w:val="00D16751"/>
    <w:rsid w:val="00D1712D"/>
    <w:rsid w:val="00D17896"/>
    <w:rsid w:val="00D17CD2"/>
    <w:rsid w:val="00D17D13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60D9"/>
    <w:rsid w:val="00D36C1A"/>
    <w:rsid w:val="00D36E1D"/>
    <w:rsid w:val="00D375CA"/>
    <w:rsid w:val="00D37A53"/>
    <w:rsid w:val="00D37CFD"/>
    <w:rsid w:val="00D37F45"/>
    <w:rsid w:val="00D40148"/>
    <w:rsid w:val="00D40522"/>
    <w:rsid w:val="00D40FD0"/>
    <w:rsid w:val="00D41AAA"/>
    <w:rsid w:val="00D42779"/>
    <w:rsid w:val="00D42E9C"/>
    <w:rsid w:val="00D4302B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7120"/>
    <w:rsid w:val="00D47373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4C0"/>
    <w:rsid w:val="00D6167D"/>
    <w:rsid w:val="00D61B2A"/>
    <w:rsid w:val="00D61E15"/>
    <w:rsid w:val="00D632EE"/>
    <w:rsid w:val="00D634CC"/>
    <w:rsid w:val="00D6473F"/>
    <w:rsid w:val="00D64A4A"/>
    <w:rsid w:val="00D65912"/>
    <w:rsid w:val="00D65AA8"/>
    <w:rsid w:val="00D65C41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81D"/>
    <w:rsid w:val="00D943FF"/>
    <w:rsid w:val="00D9665E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906"/>
    <w:rsid w:val="00DB2EF1"/>
    <w:rsid w:val="00DB34E3"/>
    <w:rsid w:val="00DB3871"/>
    <w:rsid w:val="00DB440D"/>
    <w:rsid w:val="00DB49C8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72C"/>
    <w:rsid w:val="00DC18F8"/>
    <w:rsid w:val="00DC1989"/>
    <w:rsid w:val="00DC2069"/>
    <w:rsid w:val="00DC2F28"/>
    <w:rsid w:val="00DC2F4C"/>
    <w:rsid w:val="00DC342A"/>
    <w:rsid w:val="00DC3514"/>
    <w:rsid w:val="00DC4F3B"/>
    <w:rsid w:val="00DC5411"/>
    <w:rsid w:val="00DC561D"/>
    <w:rsid w:val="00DC582C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1235"/>
    <w:rsid w:val="00DE1A08"/>
    <w:rsid w:val="00DE1A64"/>
    <w:rsid w:val="00DE243F"/>
    <w:rsid w:val="00DE2881"/>
    <w:rsid w:val="00DE2A5E"/>
    <w:rsid w:val="00DE2DE1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7226"/>
    <w:rsid w:val="00E07316"/>
    <w:rsid w:val="00E07672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24C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564"/>
    <w:rsid w:val="00E22C8B"/>
    <w:rsid w:val="00E2305C"/>
    <w:rsid w:val="00E23956"/>
    <w:rsid w:val="00E23BC6"/>
    <w:rsid w:val="00E23E9C"/>
    <w:rsid w:val="00E24AD1"/>
    <w:rsid w:val="00E250A1"/>
    <w:rsid w:val="00E26897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52AD"/>
    <w:rsid w:val="00E4577A"/>
    <w:rsid w:val="00E4697B"/>
    <w:rsid w:val="00E46A89"/>
    <w:rsid w:val="00E47683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1F54"/>
    <w:rsid w:val="00E72117"/>
    <w:rsid w:val="00E72247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AF4"/>
    <w:rsid w:val="00E77D22"/>
    <w:rsid w:val="00E77D2D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902D4"/>
    <w:rsid w:val="00E90B2C"/>
    <w:rsid w:val="00E91198"/>
    <w:rsid w:val="00E9157C"/>
    <w:rsid w:val="00E91B80"/>
    <w:rsid w:val="00E91C96"/>
    <w:rsid w:val="00E9243A"/>
    <w:rsid w:val="00E924C6"/>
    <w:rsid w:val="00E92DF4"/>
    <w:rsid w:val="00E93B8A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E8"/>
    <w:rsid w:val="00EA229A"/>
    <w:rsid w:val="00EA2942"/>
    <w:rsid w:val="00EA2E56"/>
    <w:rsid w:val="00EA30F4"/>
    <w:rsid w:val="00EA3790"/>
    <w:rsid w:val="00EA390E"/>
    <w:rsid w:val="00EA3AF0"/>
    <w:rsid w:val="00EA3F1B"/>
    <w:rsid w:val="00EA48E5"/>
    <w:rsid w:val="00EA4AAB"/>
    <w:rsid w:val="00EA4BDA"/>
    <w:rsid w:val="00EA5178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D9B"/>
    <w:rsid w:val="00EB1285"/>
    <w:rsid w:val="00EB14B5"/>
    <w:rsid w:val="00EB1614"/>
    <w:rsid w:val="00EB2082"/>
    <w:rsid w:val="00EB21EF"/>
    <w:rsid w:val="00EB2235"/>
    <w:rsid w:val="00EB269A"/>
    <w:rsid w:val="00EB2884"/>
    <w:rsid w:val="00EB2B1B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9CB"/>
    <w:rsid w:val="00EC0CBF"/>
    <w:rsid w:val="00EC1372"/>
    <w:rsid w:val="00EC18C9"/>
    <w:rsid w:val="00EC1909"/>
    <w:rsid w:val="00EC1A6B"/>
    <w:rsid w:val="00EC1BFF"/>
    <w:rsid w:val="00EC1CF6"/>
    <w:rsid w:val="00EC2B50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EC1"/>
    <w:rsid w:val="00ED64A2"/>
    <w:rsid w:val="00ED690B"/>
    <w:rsid w:val="00ED6EB2"/>
    <w:rsid w:val="00ED76EB"/>
    <w:rsid w:val="00EE02FE"/>
    <w:rsid w:val="00EE15F5"/>
    <w:rsid w:val="00EE1D0D"/>
    <w:rsid w:val="00EE2858"/>
    <w:rsid w:val="00EE2CCD"/>
    <w:rsid w:val="00EE2E2C"/>
    <w:rsid w:val="00EE3234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21F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91B"/>
    <w:rsid w:val="00F0297C"/>
    <w:rsid w:val="00F02B5D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BCF"/>
    <w:rsid w:val="00F56E13"/>
    <w:rsid w:val="00F57265"/>
    <w:rsid w:val="00F60812"/>
    <w:rsid w:val="00F6083A"/>
    <w:rsid w:val="00F6143F"/>
    <w:rsid w:val="00F62B1E"/>
    <w:rsid w:val="00F64938"/>
    <w:rsid w:val="00F653C0"/>
    <w:rsid w:val="00F65860"/>
    <w:rsid w:val="00F65E59"/>
    <w:rsid w:val="00F66A95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8AA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CF2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BF3"/>
    <w:rsid w:val="00FC70A4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EE6"/>
    <w:rsid w:val="00FD6FB5"/>
    <w:rsid w:val="00FD7BDB"/>
    <w:rsid w:val="00FD7DD7"/>
    <w:rsid w:val="00FE1320"/>
    <w:rsid w:val="00FE16BA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7334"/>
    <w:rsid w:val="00FF0D5A"/>
    <w:rsid w:val="00FF0E81"/>
    <w:rsid w:val="00FF1E81"/>
    <w:rsid w:val="00FF2503"/>
    <w:rsid w:val="00FF2BEF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January%202020\Graphs%20January%202020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'!$A$26:$B$38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'total and gender '!$D$26:$D$38</c:f>
              <c:numCache>
                <c:formatCode>#,##0</c:formatCode>
                <c:ptCount val="13"/>
                <c:pt idx="0">
                  <c:v>14150</c:v>
                </c:pt>
                <c:pt idx="1">
                  <c:v>13355</c:v>
                </c:pt>
                <c:pt idx="2">
                  <c:v>12061</c:v>
                </c:pt>
                <c:pt idx="3">
                  <c:v>9443</c:v>
                </c:pt>
                <c:pt idx="4">
                  <c:v>8053</c:v>
                </c:pt>
                <c:pt idx="5">
                  <c:v>7968</c:v>
                </c:pt>
                <c:pt idx="6">
                  <c:v>7975</c:v>
                </c:pt>
                <c:pt idx="7">
                  <c:v>7739</c:v>
                </c:pt>
                <c:pt idx="8">
                  <c:v>7518</c:v>
                </c:pt>
                <c:pt idx="9">
                  <c:v>7491</c:v>
                </c:pt>
                <c:pt idx="10">
                  <c:v>10842</c:v>
                </c:pt>
                <c:pt idx="11">
                  <c:v>11144</c:v>
                </c:pt>
                <c:pt idx="12">
                  <c:v>11522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'!$A$26:$B$38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'total and gender '!$E$26:$E$38</c:f>
              <c:numCache>
                <c:formatCode>#,##0</c:formatCode>
                <c:ptCount val="13"/>
                <c:pt idx="0">
                  <c:v>16801</c:v>
                </c:pt>
                <c:pt idx="1">
                  <c:v>16396</c:v>
                </c:pt>
                <c:pt idx="2">
                  <c:v>14447</c:v>
                </c:pt>
                <c:pt idx="3">
                  <c:v>10872</c:v>
                </c:pt>
                <c:pt idx="4">
                  <c:v>9554</c:v>
                </c:pt>
                <c:pt idx="5">
                  <c:v>10992</c:v>
                </c:pt>
                <c:pt idx="6">
                  <c:v>12607</c:v>
                </c:pt>
                <c:pt idx="7">
                  <c:v>12144</c:v>
                </c:pt>
                <c:pt idx="8">
                  <c:v>9450</c:v>
                </c:pt>
                <c:pt idx="9">
                  <c:v>9053</c:v>
                </c:pt>
                <c:pt idx="10">
                  <c:v>13653</c:v>
                </c:pt>
                <c:pt idx="11">
                  <c:v>14141</c:v>
                </c:pt>
                <c:pt idx="12">
                  <c:v>14692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'!$A$26:$B$38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'total and gender '!$C$26:$C$38</c:f>
              <c:numCache>
                <c:formatCode>#,##0</c:formatCode>
                <c:ptCount val="13"/>
                <c:pt idx="0">
                  <c:v>30951</c:v>
                </c:pt>
                <c:pt idx="1">
                  <c:v>29751</c:v>
                </c:pt>
                <c:pt idx="2">
                  <c:v>26508</c:v>
                </c:pt>
                <c:pt idx="3">
                  <c:v>20315</c:v>
                </c:pt>
                <c:pt idx="4">
                  <c:v>17607</c:v>
                </c:pt>
                <c:pt idx="5">
                  <c:v>18960</c:v>
                </c:pt>
                <c:pt idx="6">
                  <c:v>20582</c:v>
                </c:pt>
                <c:pt idx="7">
                  <c:v>19883</c:v>
                </c:pt>
                <c:pt idx="8">
                  <c:v>16968</c:v>
                </c:pt>
                <c:pt idx="9">
                  <c:v>16544</c:v>
                </c:pt>
                <c:pt idx="10">
                  <c:v>24495</c:v>
                </c:pt>
                <c:pt idx="11">
                  <c:v>25285</c:v>
                </c:pt>
                <c:pt idx="12">
                  <c:v>26214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661760"/>
        <c:axId val="279115648"/>
      </c:lineChart>
      <c:catAx>
        <c:axId val="278661760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279115648"/>
        <c:crosses val="autoZero"/>
        <c:auto val="1"/>
        <c:lblAlgn val="ctr"/>
        <c:lblOffset val="100"/>
        <c:noMultiLvlLbl val="0"/>
      </c:catAx>
      <c:valAx>
        <c:axId val="279115648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78661760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'επαρχία '!$Z$3:$AL$3</c:f>
              <c:numCache>
                <c:formatCode>General</c:formatCode>
                <c:ptCount val="13"/>
                <c:pt idx="0">
                  <c:v>7800</c:v>
                </c:pt>
                <c:pt idx="1">
                  <c:v>7581</c:v>
                </c:pt>
                <c:pt idx="2">
                  <c:v>7405</c:v>
                </c:pt>
                <c:pt idx="3">
                  <c:v>7010</c:v>
                </c:pt>
                <c:pt idx="4">
                  <c:v>6929</c:v>
                </c:pt>
                <c:pt idx="5">
                  <c:v>7540</c:v>
                </c:pt>
                <c:pt idx="6">
                  <c:v>8179</c:v>
                </c:pt>
                <c:pt idx="7">
                  <c:v>7922</c:v>
                </c:pt>
                <c:pt idx="8">
                  <c:v>6840</c:v>
                </c:pt>
                <c:pt idx="9">
                  <c:v>6306</c:v>
                </c:pt>
                <c:pt idx="10">
                  <c:v>6231</c:v>
                </c:pt>
                <c:pt idx="11">
                  <c:v>5893</c:v>
                </c:pt>
                <c:pt idx="12">
                  <c:v>5943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'επαρχία '!$Z$4:$AL$4</c:f>
              <c:numCache>
                <c:formatCode>General</c:formatCode>
                <c:ptCount val="13"/>
                <c:pt idx="0">
                  <c:v>6457</c:v>
                </c:pt>
                <c:pt idx="1">
                  <c:v>6349</c:v>
                </c:pt>
                <c:pt idx="2">
                  <c:v>5083</c:v>
                </c:pt>
                <c:pt idx="3">
                  <c:v>2030</c:v>
                </c:pt>
                <c:pt idx="4">
                  <c:v>570</c:v>
                </c:pt>
                <c:pt idx="5">
                  <c:v>567</c:v>
                </c:pt>
                <c:pt idx="6">
                  <c:v>668</c:v>
                </c:pt>
                <c:pt idx="7">
                  <c:v>641</c:v>
                </c:pt>
                <c:pt idx="8">
                  <c:v>529</c:v>
                </c:pt>
                <c:pt idx="9">
                  <c:v>843</c:v>
                </c:pt>
                <c:pt idx="10">
                  <c:v>5679</c:v>
                </c:pt>
                <c:pt idx="11">
                  <c:v>6256</c:v>
                </c:pt>
                <c:pt idx="12">
                  <c:v>6524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'επαρχία '!$Z$5:$AL$5</c:f>
              <c:numCache>
                <c:formatCode>General</c:formatCode>
                <c:ptCount val="13"/>
                <c:pt idx="0">
                  <c:v>5289</c:v>
                </c:pt>
                <c:pt idx="1">
                  <c:v>5142</c:v>
                </c:pt>
                <c:pt idx="2">
                  <c:v>4589</c:v>
                </c:pt>
                <c:pt idx="3">
                  <c:v>3539</c:v>
                </c:pt>
                <c:pt idx="4">
                  <c:v>2955</c:v>
                </c:pt>
                <c:pt idx="5">
                  <c:v>3149</c:v>
                </c:pt>
                <c:pt idx="6">
                  <c:v>3369</c:v>
                </c:pt>
                <c:pt idx="7">
                  <c:v>3223</c:v>
                </c:pt>
                <c:pt idx="8">
                  <c:v>2762</c:v>
                </c:pt>
                <c:pt idx="9">
                  <c:v>2710</c:v>
                </c:pt>
                <c:pt idx="10">
                  <c:v>4139</c:v>
                </c:pt>
                <c:pt idx="11">
                  <c:v>4171</c:v>
                </c:pt>
                <c:pt idx="12">
                  <c:v>4433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'επαρχία '!$Z$6:$AL$6</c:f>
              <c:numCache>
                <c:formatCode>General</c:formatCode>
                <c:ptCount val="13"/>
                <c:pt idx="0">
                  <c:v>6421</c:v>
                </c:pt>
                <c:pt idx="1">
                  <c:v>6173</c:v>
                </c:pt>
                <c:pt idx="2">
                  <c:v>5785</c:v>
                </c:pt>
                <c:pt idx="3">
                  <c:v>5250</c:v>
                </c:pt>
                <c:pt idx="4">
                  <c:v>5254</c:v>
                </c:pt>
                <c:pt idx="5">
                  <c:v>5837</c:v>
                </c:pt>
                <c:pt idx="6">
                  <c:v>6382</c:v>
                </c:pt>
                <c:pt idx="7">
                  <c:v>6153</c:v>
                </c:pt>
                <c:pt idx="8">
                  <c:v>5139</c:v>
                </c:pt>
                <c:pt idx="9">
                  <c:v>4922</c:v>
                </c:pt>
                <c:pt idx="10">
                  <c:v>5142</c:v>
                </c:pt>
                <c:pt idx="11">
                  <c:v>5061</c:v>
                </c:pt>
                <c:pt idx="12">
                  <c:v>5185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'επαρχία '!$Z$7:$AL$7</c:f>
              <c:numCache>
                <c:formatCode>General</c:formatCode>
                <c:ptCount val="13"/>
                <c:pt idx="0">
                  <c:v>4984</c:v>
                </c:pt>
                <c:pt idx="1">
                  <c:v>4506</c:v>
                </c:pt>
                <c:pt idx="2">
                  <c:v>3646</c:v>
                </c:pt>
                <c:pt idx="3">
                  <c:v>2486</c:v>
                </c:pt>
                <c:pt idx="4">
                  <c:v>1899</c:v>
                </c:pt>
                <c:pt idx="5">
                  <c:v>1867</c:v>
                </c:pt>
                <c:pt idx="6">
                  <c:v>1984</c:v>
                </c:pt>
                <c:pt idx="7">
                  <c:v>1944</c:v>
                </c:pt>
                <c:pt idx="8">
                  <c:v>1697</c:v>
                </c:pt>
                <c:pt idx="9">
                  <c:v>1763</c:v>
                </c:pt>
                <c:pt idx="10">
                  <c:v>3304</c:v>
                </c:pt>
                <c:pt idx="11">
                  <c:v>3904</c:v>
                </c:pt>
                <c:pt idx="12">
                  <c:v>4129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312128"/>
        <c:axId val="285313664"/>
      </c:lineChart>
      <c:catAx>
        <c:axId val="285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5313664"/>
        <c:crosses val="autoZero"/>
        <c:auto val="1"/>
        <c:lblAlgn val="ctr"/>
        <c:lblOffset val="100"/>
        <c:noMultiLvlLbl val="0"/>
      </c:catAx>
      <c:valAx>
        <c:axId val="28531366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531212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'!$AB$1:$AN$2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'οικονομική '!$AB$9:$AN$9</c:f>
              <c:numCache>
                <c:formatCode>General</c:formatCode>
                <c:ptCount val="13"/>
                <c:pt idx="0">
                  <c:v>4822</c:v>
                </c:pt>
                <c:pt idx="1">
                  <c:v>4819</c:v>
                </c:pt>
                <c:pt idx="2">
                  <c:v>4585</c:v>
                </c:pt>
                <c:pt idx="3">
                  <c:v>3970</c:v>
                </c:pt>
                <c:pt idx="4">
                  <c:v>3658</c:v>
                </c:pt>
                <c:pt idx="5">
                  <c:v>3564</c:v>
                </c:pt>
                <c:pt idx="6">
                  <c:v>3623</c:v>
                </c:pt>
                <c:pt idx="7">
                  <c:v>3586</c:v>
                </c:pt>
                <c:pt idx="8">
                  <c:v>3637</c:v>
                </c:pt>
                <c:pt idx="9">
                  <c:v>3610</c:v>
                </c:pt>
                <c:pt idx="10">
                  <c:v>4072</c:v>
                </c:pt>
                <c:pt idx="11">
                  <c:v>3969</c:v>
                </c:pt>
                <c:pt idx="12">
                  <c:v>4202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'!$AB$1:$AN$2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'οικονομική '!$AB$11:$AN$11</c:f>
              <c:numCache>
                <c:formatCode>General</c:formatCode>
                <c:ptCount val="13"/>
                <c:pt idx="0">
                  <c:v>10030</c:v>
                </c:pt>
                <c:pt idx="1">
                  <c:v>9610</c:v>
                </c:pt>
                <c:pt idx="2">
                  <c:v>7515</c:v>
                </c:pt>
                <c:pt idx="3">
                  <c:v>3672</c:v>
                </c:pt>
                <c:pt idx="4">
                  <c:v>2108</c:v>
                </c:pt>
                <c:pt idx="5">
                  <c:v>1972</c:v>
                </c:pt>
                <c:pt idx="6">
                  <c:v>1961</c:v>
                </c:pt>
                <c:pt idx="7">
                  <c:v>1872</c:v>
                </c:pt>
                <c:pt idx="8">
                  <c:v>1911</c:v>
                </c:pt>
                <c:pt idx="9">
                  <c:v>2319</c:v>
                </c:pt>
                <c:pt idx="10">
                  <c:v>8292</c:v>
                </c:pt>
                <c:pt idx="11">
                  <c:v>9290</c:v>
                </c:pt>
                <c:pt idx="12">
                  <c:v>9632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'!$AB$1:$AN$2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'οικονομική '!$AB$15:$AN$15</c:f>
              <c:numCache>
                <c:formatCode>General</c:formatCode>
                <c:ptCount val="13"/>
                <c:pt idx="0">
                  <c:v>2124</c:v>
                </c:pt>
                <c:pt idx="1">
                  <c:v>1437</c:v>
                </c:pt>
                <c:pt idx="2">
                  <c:v>1439</c:v>
                </c:pt>
                <c:pt idx="3">
                  <c:v>1261</c:v>
                </c:pt>
                <c:pt idx="4">
                  <c:v>1144</c:v>
                </c:pt>
                <c:pt idx="5">
                  <c:v>1777</c:v>
                </c:pt>
                <c:pt idx="6">
                  <c:v>2202</c:v>
                </c:pt>
                <c:pt idx="7">
                  <c:v>2125</c:v>
                </c:pt>
                <c:pt idx="8">
                  <c:v>1050</c:v>
                </c:pt>
                <c:pt idx="9">
                  <c:v>826</c:v>
                </c:pt>
                <c:pt idx="10">
                  <c:v>922</c:v>
                </c:pt>
                <c:pt idx="11">
                  <c:v>1069</c:v>
                </c:pt>
                <c:pt idx="12">
                  <c:v>1085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692864"/>
        <c:axId val="284694400"/>
      </c:lineChart>
      <c:catAx>
        <c:axId val="28469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84694400"/>
        <c:crosses val="autoZero"/>
        <c:auto val="1"/>
        <c:lblAlgn val="ctr"/>
        <c:lblOffset val="100"/>
        <c:noMultiLvlLbl val="0"/>
      </c:catAx>
      <c:valAx>
        <c:axId val="28469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8469286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53"/>
          <c:w val="0.25192331347967767"/>
          <c:h val="0.36253829915605801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επάγγελμα!$AA$1:$AM$2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επάγγελμα!$AA$4:$AM$4</c:f>
              <c:numCache>
                <c:formatCode>General</c:formatCode>
                <c:ptCount val="13"/>
                <c:pt idx="0">
                  <c:v>1931</c:v>
                </c:pt>
                <c:pt idx="1">
                  <c:v>1886</c:v>
                </c:pt>
                <c:pt idx="2">
                  <c:v>1798</c:v>
                </c:pt>
                <c:pt idx="3">
                  <c:v>1782</c:v>
                </c:pt>
                <c:pt idx="4">
                  <c:v>1813</c:v>
                </c:pt>
                <c:pt idx="5">
                  <c:v>2731</c:v>
                </c:pt>
                <c:pt idx="6">
                  <c:v>3596</c:v>
                </c:pt>
                <c:pt idx="7">
                  <c:v>3481</c:v>
                </c:pt>
                <c:pt idx="8">
                  <c:v>2104</c:v>
                </c:pt>
                <c:pt idx="9">
                  <c:v>1735</c:v>
                </c:pt>
                <c:pt idx="10">
                  <c:v>1719</c:v>
                </c:pt>
                <c:pt idx="11">
                  <c:v>1724</c:v>
                </c:pt>
                <c:pt idx="12">
                  <c:v>1702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επάγγελμα!$AA$1:$AM$2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επάγγελμα!$AA$6:$AM$6</c:f>
              <c:numCache>
                <c:formatCode>General</c:formatCode>
                <c:ptCount val="13"/>
                <c:pt idx="0">
                  <c:v>4611</c:v>
                </c:pt>
                <c:pt idx="1">
                  <c:v>4559</c:v>
                </c:pt>
                <c:pt idx="2">
                  <c:v>4271</c:v>
                </c:pt>
                <c:pt idx="3">
                  <c:v>3556</c:v>
                </c:pt>
                <c:pt idx="4">
                  <c:v>3199</c:v>
                </c:pt>
                <c:pt idx="5">
                  <c:v>3112</c:v>
                </c:pt>
                <c:pt idx="6">
                  <c:v>3417</c:v>
                </c:pt>
                <c:pt idx="7">
                  <c:v>3236</c:v>
                </c:pt>
                <c:pt idx="8">
                  <c:v>2890</c:v>
                </c:pt>
                <c:pt idx="9">
                  <c:v>2865</c:v>
                </c:pt>
                <c:pt idx="10">
                  <c:v>3843</c:v>
                </c:pt>
                <c:pt idx="11">
                  <c:v>3914</c:v>
                </c:pt>
                <c:pt idx="12">
                  <c:v>3980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επάγγελμα!$AA$1:$AM$2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επάγγελμα!$AA$7:$AM$7</c:f>
              <c:numCache>
                <c:formatCode>General</c:formatCode>
                <c:ptCount val="13"/>
                <c:pt idx="0">
                  <c:v>9498</c:v>
                </c:pt>
                <c:pt idx="1">
                  <c:v>9082</c:v>
                </c:pt>
                <c:pt idx="2">
                  <c:v>7939</c:v>
                </c:pt>
                <c:pt idx="3">
                  <c:v>5094</c:v>
                </c:pt>
                <c:pt idx="4">
                  <c:v>3952</c:v>
                </c:pt>
                <c:pt idx="5">
                  <c:v>4425</c:v>
                </c:pt>
                <c:pt idx="6">
                  <c:v>4589</c:v>
                </c:pt>
                <c:pt idx="7">
                  <c:v>4551</c:v>
                </c:pt>
                <c:pt idx="8">
                  <c:v>3809</c:v>
                </c:pt>
                <c:pt idx="9">
                  <c:v>3896</c:v>
                </c:pt>
                <c:pt idx="10">
                  <c:v>7692</c:v>
                </c:pt>
                <c:pt idx="11">
                  <c:v>8117</c:v>
                </c:pt>
                <c:pt idx="12">
                  <c:v>8556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επάγγελμα!$AA$1:$AM$2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επάγγελμα!$AA$9:$AM$9</c:f>
              <c:numCache>
                <c:formatCode>General</c:formatCode>
                <c:ptCount val="13"/>
                <c:pt idx="0">
                  <c:v>1746</c:v>
                </c:pt>
                <c:pt idx="1">
                  <c:v>1628</c:v>
                </c:pt>
                <c:pt idx="2">
                  <c:v>1473</c:v>
                </c:pt>
                <c:pt idx="3">
                  <c:v>1323</c:v>
                </c:pt>
                <c:pt idx="4">
                  <c:v>1260</c:v>
                </c:pt>
                <c:pt idx="5">
                  <c:v>1211</c:v>
                </c:pt>
                <c:pt idx="6">
                  <c:v>1173</c:v>
                </c:pt>
                <c:pt idx="7">
                  <c:v>1111</c:v>
                </c:pt>
                <c:pt idx="8">
                  <c:v>1097</c:v>
                </c:pt>
                <c:pt idx="9">
                  <c:v>1068</c:v>
                </c:pt>
                <c:pt idx="10">
                  <c:v>1144</c:v>
                </c:pt>
                <c:pt idx="11">
                  <c:v>1155</c:v>
                </c:pt>
                <c:pt idx="12">
                  <c:v>1179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επάγγελμα!$AA$1:$AM$2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επάγγελμα!$AA$11:$AM$11</c:f>
              <c:numCache>
                <c:formatCode>General</c:formatCode>
                <c:ptCount val="13"/>
                <c:pt idx="0">
                  <c:v>7430</c:v>
                </c:pt>
                <c:pt idx="1">
                  <c:v>6926</c:v>
                </c:pt>
                <c:pt idx="2">
                  <c:v>5771</c:v>
                </c:pt>
                <c:pt idx="3">
                  <c:v>3981</c:v>
                </c:pt>
                <c:pt idx="4">
                  <c:v>3240</c:v>
                </c:pt>
                <c:pt idx="5">
                  <c:v>3242</c:v>
                </c:pt>
                <c:pt idx="6">
                  <c:v>3539</c:v>
                </c:pt>
                <c:pt idx="7">
                  <c:v>3312</c:v>
                </c:pt>
                <c:pt idx="8">
                  <c:v>3094</c:v>
                </c:pt>
                <c:pt idx="9">
                  <c:v>3242</c:v>
                </c:pt>
                <c:pt idx="10">
                  <c:v>5690</c:v>
                </c:pt>
                <c:pt idx="11">
                  <c:v>6012</c:v>
                </c:pt>
                <c:pt idx="12">
                  <c:v>6279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725632"/>
        <c:axId val="284727552"/>
      </c:lineChart>
      <c:catAx>
        <c:axId val="28472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84727552"/>
        <c:crosses val="autoZero"/>
        <c:auto val="1"/>
        <c:lblAlgn val="ctr"/>
        <c:lblOffset val="100"/>
        <c:noMultiLvlLbl val="0"/>
      </c:catAx>
      <c:valAx>
        <c:axId val="28472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8472563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'ηλικία '!$Z$3:$AL$3</c:f>
              <c:numCache>
                <c:formatCode>#,##0</c:formatCode>
                <c:ptCount val="13"/>
                <c:pt idx="0">
                  <c:v>2002</c:v>
                </c:pt>
                <c:pt idx="1">
                  <c:v>1908</c:v>
                </c:pt>
                <c:pt idx="2">
                  <c:v>1583</c:v>
                </c:pt>
                <c:pt idx="3">
                  <c:v>1065</c:v>
                </c:pt>
                <c:pt idx="4">
                  <c:v>855</c:v>
                </c:pt>
                <c:pt idx="5">
                  <c:v>865</c:v>
                </c:pt>
                <c:pt idx="6">
                  <c:v>937</c:v>
                </c:pt>
                <c:pt idx="7">
                  <c:v>950</c:v>
                </c:pt>
                <c:pt idx="8">
                  <c:v>960</c:v>
                </c:pt>
                <c:pt idx="9">
                  <c:v>919</c:v>
                </c:pt>
                <c:pt idx="10">
                  <c:v>1537</c:v>
                </c:pt>
                <c:pt idx="11">
                  <c:v>1503</c:v>
                </c:pt>
                <c:pt idx="12">
                  <c:v>1553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'ηλικία '!$Z$4:$AL$4</c:f>
              <c:numCache>
                <c:formatCode>#,##0</c:formatCode>
                <c:ptCount val="13"/>
                <c:pt idx="0">
                  <c:v>3885</c:v>
                </c:pt>
                <c:pt idx="1">
                  <c:v>3792</c:v>
                </c:pt>
                <c:pt idx="2">
                  <c:v>3382</c:v>
                </c:pt>
                <c:pt idx="3">
                  <c:v>2512</c:v>
                </c:pt>
                <c:pt idx="4">
                  <c:v>2089</c:v>
                </c:pt>
                <c:pt idx="5">
                  <c:v>2260</c:v>
                </c:pt>
                <c:pt idx="6">
                  <c:v>2588</c:v>
                </c:pt>
                <c:pt idx="7">
                  <c:v>2528</c:v>
                </c:pt>
                <c:pt idx="8">
                  <c:v>2109</c:v>
                </c:pt>
                <c:pt idx="9">
                  <c:v>2022</c:v>
                </c:pt>
                <c:pt idx="10">
                  <c:v>2970</c:v>
                </c:pt>
                <c:pt idx="11">
                  <c:v>3082</c:v>
                </c:pt>
                <c:pt idx="12">
                  <c:v>3257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'ηλικία '!$Z$5:$AL$5</c:f>
              <c:numCache>
                <c:formatCode>#,##0</c:formatCode>
                <c:ptCount val="13"/>
                <c:pt idx="0">
                  <c:v>8112</c:v>
                </c:pt>
                <c:pt idx="1">
                  <c:v>7715</c:v>
                </c:pt>
                <c:pt idx="2">
                  <c:v>6867</c:v>
                </c:pt>
                <c:pt idx="3">
                  <c:v>5317</c:v>
                </c:pt>
                <c:pt idx="4">
                  <c:v>4649</c:v>
                </c:pt>
                <c:pt idx="5">
                  <c:v>5554</c:v>
                </c:pt>
                <c:pt idx="6">
                  <c:v>6199</c:v>
                </c:pt>
                <c:pt idx="7">
                  <c:v>5962</c:v>
                </c:pt>
                <c:pt idx="8">
                  <c:v>4687</c:v>
                </c:pt>
                <c:pt idx="9">
                  <c:v>4478</c:v>
                </c:pt>
                <c:pt idx="10">
                  <c:v>6427</c:v>
                </c:pt>
                <c:pt idx="11">
                  <c:v>6550</c:v>
                </c:pt>
                <c:pt idx="12">
                  <c:v>6759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'ηλικία '!$Z$6:$AL$6</c:f>
              <c:numCache>
                <c:formatCode>#,##0</c:formatCode>
                <c:ptCount val="13"/>
                <c:pt idx="0">
                  <c:v>6617</c:v>
                </c:pt>
                <c:pt idx="1">
                  <c:v>6361</c:v>
                </c:pt>
                <c:pt idx="2">
                  <c:v>5573</c:v>
                </c:pt>
                <c:pt idx="3">
                  <c:v>4088</c:v>
                </c:pt>
                <c:pt idx="4">
                  <c:v>3486</c:v>
                </c:pt>
                <c:pt idx="5">
                  <c:v>3710</c:v>
                </c:pt>
                <c:pt idx="6">
                  <c:v>4067</c:v>
                </c:pt>
                <c:pt idx="7">
                  <c:v>3895</c:v>
                </c:pt>
                <c:pt idx="8">
                  <c:v>3310</c:v>
                </c:pt>
                <c:pt idx="9">
                  <c:v>3293</c:v>
                </c:pt>
                <c:pt idx="10">
                  <c:v>5355</c:v>
                </c:pt>
                <c:pt idx="11">
                  <c:v>5646</c:v>
                </c:pt>
                <c:pt idx="12">
                  <c:v>5874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'ηλικία '!$Z$7:$AL$7</c:f>
              <c:numCache>
                <c:formatCode>#,##0</c:formatCode>
                <c:ptCount val="13"/>
                <c:pt idx="0">
                  <c:v>7210</c:v>
                </c:pt>
                <c:pt idx="1">
                  <c:v>6904</c:v>
                </c:pt>
                <c:pt idx="2">
                  <c:v>6230</c:v>
                </c:pt>
                <c:pt idx="3">
                  <c:v>4875</c:v>
                </c:pt>
                <c:pt idx="4">
                  <c:v>4277</c:v>
                </c:pt>
                <c:pt idx="5">
                  <c:v>4325</c:v>
                </c:pt>
                <c:pt idx="6">
                  <c:v>4524</c:v>
                </c:pt>
                <c:pt idx="7">
                  <c:v>4356</c:v>
                </c:pt>
                <c:pt idx="8">
                  <c:v>3846</c:v>
                </c:pt>
                <c:pt idx="9">
                  <c:v>3811</c:v>
                </c:pt>
                <c:pt idx="10">
                  <c:v>5640</c:v>
                </c:pt>
                <c:pt idx="11">
                  <c:v>5873</c:v>
                </c:pt>
                <c:pt idx="12">
                  <c:v>6042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'ηλικία '!$Z$8:$AL$8</c:f>
              <c:numCache>
                <c:formatCode>#,##0</c:formatCode>
                <c:ptCount val="13"/>
                <c:pt idx="0">
                  <c:v>2934</c:v>
                </c:pt>
                <c:pt idx="1">
                  <c:v>2883</c:v>
                </c:pt>
                <c:pt idx="2">
                  <c:v>2696</c:v>
                </c:pt>
                <c:pt idx="3">
                  <c:v>2307</c:v>
                </c:pt>
                <c:pt idx="4">
                  <c:v>2115</c:v>
                </c:pt>
                <c:pt idx="5">
                  <c:v>2110</c:v>
                </c:pt>
                <c:pt idx="6">
                  <c:v>2132</c:v>
                </c:pt>
                <c:pt idx="7">
                  <c:v>2062</c:v>
                </c:pt>
                <c:pt idx="8">
                  <c:v>1924</c:v>
                </c:pt>
                <c:pt idx="9">
                  <c:v>1886</c:v>
                </c:pt>
                <c:pt idx="10">
                  <c:v>2393</c:v>
                </c:pt>
                <c:pt idx="11">
                  <c:v>2456</c:v>
                </c:pt>
                <c:pt idx="12">
                  <c:v>2564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467840"/>
        <c:axId val="294477824"/>
      </c:lineChart>
      <c:catAx>
        <c:axId val="2944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4477824"/>
        <c:crosses val="autoZero"/>
        <c:auto val="1"/>
        <c:lblAlgn val="ctr"/>
        <c:lblOffset val="100"/>
        <c:noMultiLvlLbl val="0"/>
      </c:catAx>
      <c:valAx>
        <c:axId val="2944778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446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διάρκεια εγγραφής τους τελευταίους 12 μήνες</a:t>
            </a:r>
            <a:r>
              <a:rPr lang="en-US" sz="1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13615017204121568"/>
          <c:y val="3.5842258848078776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'διάρκεια '!$Z$8:$AL$8</c:f>
              <c:numCache>
                <c:formatCode>General</c:formatCode>
                <c:ptCount val="13"/>
                <c:pt idx="0">
                  <c:v>8509</c:v>
                </c:pt>
                <c:pt idx="1">
                  <c:v>8271</c:v>
                </c:pt>
                <c:pt idx="2">
                  <c:v>8385</c:v>
                </c:pt>
                <c:pt idx="3">
                  <c:v>8657</c:v>
                </c:pt>
                <c:pt idx="4">
                  <c:v>8300</c:v>
                </c:pt>
                <c:pt idx="5">
                  <c:v>7689</c:v>
                </c:pt>
                <c:pt idx="6">
                  <c:v>7497</c:v>
                </c:pt>
                <c:pt idx="7">
                  <c:v>7250</c:v>
                </c:pt>
                <c:pt idx="8">
                  <c:v>6882</c:v>
                </c:pt>
                <c:pt idx="9">
                  <c:v>6500</c:v>
                </c:pt>
                <c:pt idx="10">
                  <c:v>6379</c:v>
                </c:pt>
                <c:pt idx="11">
                  <c:v>6275</c:v>
                </c:pt>
                <c:pt idx="12">
                  <c:v>6184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'διάρκεια '!$Z$7:$AL$7</c:f>
              <c:numCache>
                <c:formatCode>#,##0</c:formatCode>
                <c:ptCount val="13"/>
                <c:pt idx="0">
                  <c:v>5313</c:v>
                </c:pt>
                <c:pt idx="1">
                  <c:v>5171</c:v>
                </c:pt>
                <c:pt idx="2">
                  <c:v>4952</c:v>
                </c:pt>
                <c:pt idx="3">
                  <c:v>4796</c:v>
                </c:pt>
                <c:pt idx="4">
                  <c:v>4594</c:v>
                </c:pt>
                <c:pt idx="5">
                  <c:v>4420</c:v>
                </c:pt>
                <c:pt idx="6">
                  <c:v>4136</c:v>
                </c:pt>
                <c:pt idx="7">
                  <c:v>3992</c:v>
                </c:pt>
                <c:pt idx="8">
                  <c:v>3982</c:v>
                </c:pt>
                <c:pt idx="9">
                  <c:v>3821</c:v>
                </c:pt>
                <c:pt idx="10">
                  <c:v>3715</c:v>
                </c:pt>
                <c:pt idx="11">
                  <c:v>3478</c:v>
                </c:pt>
                <c:pt idx="12">
                  <c:v>3454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217728"/>
        <c:axId val="284219264"/>
      </c:lineChart>
      <c:catAx>
        <c:axId val="2842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4219264"/>
        <c:crosses val="autoZero"/>
        <c:auto val="1"/>
        <c:lblAlgn val="ctr"/>
        <c:lblOffset val="100"/>
        <c:noMultiLvlLbl val="0"/>
      </c:catAx>
      <c:valAx>
        <c:axId val="28421926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4217728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44380141525"/>
          <c:y val="0.1908915733359417"/>
          <c:w val="0.22535210483848522"/>
          <c:h val="0.4444443357623775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91"/>
          <c:y val="3.74533205075224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'υπηκοότητα '!$AX$4:$BJ$4</c:f>
              <c:numCache>
                <c:formatCode>General</c:formatCode>
                <c:ptCount val="13"/>
                <c:pt idx="0">
                  <c:v>7269</c:v>
                </c:pt>
                <c:pt idx="1">
                  <c:v>7095</c:v>
                </c:pt>
                <c:pt idx="2">
                  <c:v>5678</c:v>
                </c:pt>
                <c:pt idx="3">
                  <c:v>3279</c:v>
                </c:pt>
                <c:pt idx="4">
                  <c:v>2334</c:v>
                </c:pt>
                <c:pt idx="5">
                  <c:v>2332</c:v>
                </c:pt>
                <c:pt idx="6">
                  <c:v>2405</c:v>
                </c:pt>
                <c:pt idx="7">
                  <c:v>2278</c:v>
                </c:pt>
                <c:pt idx="8">
                  <c:v>2278</c:v>
                </c:pt>
                <c:pt idx="9">
                  <c:v>2586</c:v>
                </c:pt>
                <c:pt idx="10">
                  <c:v>6266</c:v>
                </c:pt>
                <c:pt idx="11">
                  <c:v>6810</c:v>
                </c:pt>
                <c:pt idx="12">
                  <c:v>7137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'υπηκοότητα '!$AX$5:$BJ$5</c:f>
              <c:numCache>
                <c:formatCode>General</c:formatCode>
                <c:ptCount val="13"/>
                <c:pt idx="0">
                  <c:v>1176</c:v>
                </c:pt>
                <c:pt idx="1">
                  <c:v>1145</c:v>
                </c:pt>
                <c:pt idx="2">
                  <c:v>963</c:v>
                </c:pt>
                <c:pt idx="3">
                  <c:v>709</c:v>
                </c:pt>
                <c:pt idx="4">
                  <c:v>556</c:v>
                </c:pt>
                <c:pt idx="5">
                  <c:v>537</c:v>
                </c:pt>
                <c:pt idx="6">
                  <c:v>513</c:v>
                </c:pt>
                <c:pt idx="7">
                  <c:v>474</c:v>
                </c:pt>
                <c:pt idx="8">
                  <c:v>504</c:v>
                </c:pt>
                <c:pt idx="9">
                  <c:v>518</c:v>
                </c:pt>
                <c:pt idx="10">
                  <c:v>775</c:v>
                </c:pt>
                <c:pt idx="11">
                  <c:v>834</c:v>
                </c:pt>
                <c:pt idx="12">
                  <c:v>866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'υπηκοότητα '!$AX$8:$BJ$8</c:f>
              <c:numCache>
                <c:formatCode>General</c:formatCode>
                <c:ptCount val="13"/>
                <c:pt idx="0">
                  <c:v>765</c:v>
                </c:pt>
                <c:pt idx="1">
                  <c:v>719</c:v>
                </c:pt>
                <c:pt idx="2">
                  <c:v>655</c:v>
                </c:pt>
                <c:pt idx="3">
                  <c:v>623</c:v>
                </c:pt>
                <c:pt idx="4">
                  <c:v>567</c:v>
                </c:pt>
                <c:pt idx="5">
                  <c:v>525</c:v>
                </c:pt>
                <c:pt idx="6">
                  <c:v>509</c:v>
                </c:pt>
                <c:pt idx="7">
                  <c:v>486</c:v>
                </c:pt>
                <c:pt idx="8">
                  <c:v>497</c:v>
                </c:pt>
                <c:pt idx="9">
                  <c:v>475</c:v>
                </c:pt>
                <c:pt idx="10">
                  <c:v>476</c:v>
                </c:pt>
                <c:pt idx="11">
                  <c:v>465</c:v>
                </c:pt>
                <c:pt idx="12">
                  <c:v>490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'υπηκοότητα '!$AX$3:$BJ$3</c:f>
              <c:numCache>
                <c:formatCode>General</c:formatCode>
                <c:ptCount val="13"/>
                <c:pt idx="0">
                  <c:v>19911</c:v>
                </c:pt>
                <c:pt idx="1">
                  <c:v>18983</c:v>
                </c:pt>
                <c:pt idx="2">
                  <c:v>17591</c:v>
                </c:pt>
                <c:pt idx="3">
                  <c:v>14429</c:v>
                </c:pt>
                <c:pt idx="4">
                  <c:v>13066</c:v>
                </c:pt>
                <c:pt idx="5">
                  <c:v>14520</c:v>
                </c:pt>
                <c:pt idx="6">
                  <c:v>16081</c:v>
                </c:pt>
                <c:pt idx="7">
                  <c:v>15644</c:v>
                </c:pt>
                <c:pt idx="8">
                  <c:v>12674</c:v>
                </c:pt>
                <c:pt idx="9">
                  <c:v>11921</c:v>
                </c:pt>
                <c:pt idx="10">
                  <c:v>15352</c:v>
                </c:pt>
                <c:pt idx="11">
                  <c:v>15490</c:v>
                </c:pt>
                <c:pt idx="12">
                  <c:v>15998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892288"/>
        <c:axId val="294893824"/>
      </c:lineChart>
      <c:catAx>
        <c:axId val="29489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94893824"/>
        <c:crosses val="autoZero"/>
        <c:auto val="1"/>
        <c:lblAlgn val="ctr"/>
        <c:lblOffset val="100"/>
        <c:noMultiLvlLbl val="0"/>
      </c:catAx>
      <c:valAx>
        <c:axId val="294893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9489228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3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μόρφωση!$Z$8:$AL$8</c:f>
              <c:numCache>
                <c:formatCode>#,##0</c:formatCode>
                <c:ptCount val="13"/>
                <c:pt idx="0">
                  <c:v>15537</c:v>
                </c:pt>
                <c:pt idx="1">
                  <c:v>14902</c:v>
                </c:pt>
                <c:pt idx="2">
                  <c:v>13419</c:v>
                </c:pt>
                <c:pt idx="3">
                  <c:v>10088</c:v>
                </c:pt>
                <c:pt idx="4">
                  <c:v>8603</c:v>
                </c:pt>
                <c:pt idx="5">
                  <c:v>8822</c:v>
                </c:pt>
                <c:pt idx="6">
                  <c:v>9270</c:v>
                </c:pt>
                <c:pt idx="7">
                  <c:v>8918</c:v>
                </c:pt>
                <c:pt idx="8">
                  <c:v>8096</c:v>
                </c:pt>
                <c:pt idx="9">
                  <c:v>7999</c:v>
                </c:pt>
                <c:pt idx="10">
                  <c:v>11945</c:v>
                </c:pt>
                <c:pt idx="11">
                  <c:v>12223</c:v>
                </c:pt>
                <c:pt idx="12">
                  <c:v>12645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μόρφωση!$Z$9:$AL$9</c:f>
              <c:numCache>
                <c:formatCode>#,##0</c:formatCode>
                <c:ptCount val="13"/>
                <c:pt idx="0">
                  <c:v>7452</c:v>
                </c:pt>
                <c:pt idx="1">
                  <c:v>7303</c:v>
                </c:pt>
                <c:pt idx="2">
                  <c:v>6931</c:v>
                </c:pt>
                <c:pt idx="3">
                  <c:v>6160</c:v>
                </c:pt>
                <c:pt idx="4">
                  <c:v>5896</c:v>
                </c:pt>
                <c:pt idx="5">
                  <c:v>7231</c:v>
                </c:pt>
                <c:pt idx="6">
                  <c:v>8411</c:v>
                </c:pt>
                <c:pt idx="7">
                  <c:v>8210</c:v>
                </c:pt>
                <c:pt idx="8">
                  <c:v>6115</c:v>
                </c:pt>
                <c:pt idx="9">
                  <c:v>5505</c:v>
                </c:pt>
                <c:pt idx="10">
                  <c:v>6155</c:v>
                </c:pt>
                <c:pt idx="11">
                  <c:v>6111</c:v>
                </c:pt>
                <c:pt idx="12">
                  <c:v>6303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μόρφωση!$Z$5:$AL$5</c:f>
              <c:numCache>
                <c:formatCode>#,##0</c:formatCode>
                <c:ptCount val="13"/>
                <c:pt idx="0">
                  <c:v>7962</c:v>
                </c:pt>
                <c:pt idx="1">
                  <c:v>7546</c:v>
                </c:pt>
                <c:pt idx="2">
                  <c:v>6158</c:v>
                </c:pt>
                <c:pt idx="3">
                  <c:v>4067</c:v>
                </c:pt>
                <c:pt idx="4">
                  <c:v>3108</c:v>
                </c:pt>
                <c:pt idx="5">
                  <c:v>2907</c:v>
                </c:pt>
                <c:pt idx="6">
                  <c:v>2901</c:v>
                </c:pt>
                <c:pt idx="7">
                  <c:v>2755</c:v>
                </c:pt>
                <c:pt idx="8">
                  <c:v>2757</c:v>
                </c:pt>
                <c:pt idx="9">
                  <c:v>3040</c:v>
                </c:pt>
                <c:pt idx="10">
                  <c:v>6395</c:v>
                </c:pt>
                <c:pt idx="11">
                  <c:v>6951</c:v>
                </c:pt>
                <c:pt idx="12">
                  <c:v>7266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297600"/>
        <c:axId val="294299136"/>
      </c:lineChart>
      <c:catAx>
        <c:axId val="29429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94299136"/>
        <c:crosses val="autoZero"/>
        <c:auto val="1"/>
        <c:lblAlgn val="ctr"/>
        <c:lblOffset val="100"/>
        <c:noMultiLvlLbl val="0"/>
      </c:catAx>
      <c:valAx>
        <c:axId val="29429913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9429760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7538-048A-4448-8D90-5C747FED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326</cp:revision>
  <cp:lastPrinted>2019-10-21T06:52:00Z</cp:lastPrinted>
  <dcterms:created xsi:type="dcterms:W3CDTF">2018-05-03T10:00:00Z</dcterms:created>
  <dcterms:modified xsi:type="dcterms:W3CDTF">2020-02-25T07:41:00Z</dcterms:modified>
</cp:coreProperties>
</file>